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15F230">
      <w:pPr>
        <w:spacing w:before="0" w:after="40" w:line="312" w:lineRule="auto"/>
        <w:ind w:firstLine="0"/>
        <w:jc w:val="center"/>
      </w:pPr>
      <w:r>
        <w:rPr>
          <w:rFonts w:ascii="黑体" w:hAnsi="黑体" w:eastAsia="黑体"/>
          <w:b/>
          <w:sz w:val="36"/>
        </w:rPr>
        <w:t>土木工程检测技术专业发展调研报告</w:t>
      </w:r>
    </w:p>
    <w:p w14:paraId="4ABAAC5C">
      <w:pPr>
        <w:spacing w:before="0" w:after="40" w:line="312" w:lineRule="auto"/>
        <w:ind w:firstLine="0"/>
        <w:jc w:val="center"/>
      </w:pPr>
      <w:r>
        <w:rPr>
          <w:rFonts w:ascii="黑体" w:hAnsi="黑体" w:eastAsia="黑体"/>
          <w:b/>
          <w:sz w:val="28"/>
        </w:rPr>
        <w:t>（2026年度）</w:t>
      </w:r>
    </w:p>
    <w:p w14:paraId="01818B0A">
      <w:pPr>
        <w:spacing w:before="0" w:after="200" w:line="312" w:lineRule="auto"/>
        <w:ind w:firstLine="0"/>
        <w:jc w:val="center"/>
      </w:pPr>
      <w:r>
        <w:rPr>
          <w:rFonts w:ascii="楷体" w:hAnsi="楷体" w:eastAsia="楷体"/>
          <w:b w:val="0"/>
          <w:sz w:val="24"/>
        </w:rPr>
        <w:t>土木工程检测技术现场工程师学院</w:t>
      </w:r>
    </w:p>
    <w:p w14:paraId="0B3F70F2">
      <w:pPr>
        <w:spacing w:before="200" w:after="80" w:line="336" w:lineRule="auto"/>
        <w:ind w:firstLine="0"/>
      </w:pPr>
      <w:r>
        <w:rPr>
          <w:rFonts w:ascii="黑体" w:hAnsi="黑体" w:eastAsia="黑体"/>
          <w:b/>
          <w:sz w:val="28"/>
        </w:rPr>
        <w:t>一、调研的背景与目的</w:t>
      </w:r>
    </w:p>
    <w:p w14:paraId="2257FE9A">
      <w:pPr>
        <w:spacing w:before="120" w:after="40" w:line="336" w:lineRule="auto"/>
        <w:ind w:firstLine="0"/>
      </w:pPr>
      <w:r>
        <w:rPr>
          <w:rFonts w:ascii="黑体" w:hAnsi="黑体" w:eastAsia="黑体"/>
          <w:b/>
          <w:sz w:val="24"/>
        </w:rPr>
        <w:t>1.调研背景</w:t>
      </w:r>
    </w:p>
    <w:p w14:paraId="03C9B257">
      <w:pPr>
        <w:spacing w:before="0" w:after="0" w:line="384" w:lineRule="auto"/>
        <w:ind w:firstLine="420"/>
      </w:pPr>
      <w:r>
        <w:rPr>
          <w:rFonts w:ascii="仿宋" w:hAnsi="仿宋" w:eastAsia="仿宋"/>
          <w:b w:val="0"/>
          <w:sz w:val="24"/>
        </w:rPr>
        <w:t>工程检测是工程质量安全的“眼睛”，也是建设工程质量责任链条上最关键的技术环节。随着《建设工程质量检测管理办法》（住房和城乡建设部令第57号）和《建设工程质量检测机构资质标准》相继实施，检测机构的资质类别、人员数量与资格、设备配置、场所条件、管理体系运行情况全面纳入监管，检测行为由“机构自管”转向“全程留痕、责任到人”。这一变化对检测人员提出了更高要求：不仅要做得出试验，更要懂标准、会判定、能签报告、守规矩。</w:t>
      </w:r>
    </w:p>
    <w:p w14:paraId="11E852B5">
      <w:pPr>
        <w:spacing w:before="0" w:after="0" w:line="384" w:lineRule="auto"/>
        <w:ind w:firstLine="420"/>
      </w:pPr>
      <w:r>
        <w:rPr>
          <w:rFonts w:ascii="仿宋" w:hAnsi="仿宋" w:eastAsia="仿宋"/>
          <w:b w:val="0"/>
          <w:sz w:val="24"/>
        </w:rPr>
        <w:t>从产业看，建筑（含建材）产业链已列入江西省重点产业链，城市更新、既有建筑改造、装配式建筑和绿色建筑的推进，使检测业务由常规材料检测向结构实体检测、基桩检测、建筑节能与室内环境检测延伸，检测对象从“材料样品”扩展到“工程实体”。省内检测机构数量增加、资质等级提升，对高素质技术技能人才的需求持续增长。</w:t>
      </w:r>
    </w:p>
    <w:p w14:paraId="41A16932">
      <w:pPr>
        <w:spacing w:before="0" w:after="0" w:line="384" w:lineRule="auto"/>
        <w:ind w:firstLine="420"/>
      </w:pPr>
      <w:r>
        <w:rPr>
          <w:rFonts w:ascii="仿宋" w:hAnsi="仿宋" w:eastAsia="仿宋"/>
          <w:b w:val="0"/>
          <w:sz w:val="24"/>
        </w:rPr>
        <w:t>2023年9月，学校与江西建院工程检测有限公司共建土木工程检测技术现场工程师学院，按“2+1”现代学徒制组织教学，前四个学期在校完成专业基础课程与核心课程，第五、第六学期进入企业完成岗位实践与顶岗实习。2026级人才培养方案正在修订，需要以岗位需求的最新变化为依据，回答“企业到底要什么样的人、学校应该按什么标准教”两个基本问题。</w:t>
      </w:r>
    </w:p>
    <w:p w14:paraId="74BAAF50">
      <w:pPr>
        <w:spacing w:before="120" w:after="40" w:line="336" w:lineRule="auto"/>
        <w:ind w:firstLine="0"/>
      </w:pPr>
      <w:r>
        <w:rPr>
          <w:rFonts w:ascii="黑体" w:hAnsi="黑体" w:eastAsia="黑体"/>
          <w:b/>
          <w:sz w:val="24"/>
        </w:rPr>
        <w:t>2.调研目的</w:t>
      </w:r>
    </w:p>
    <w:p w14:paraId="2D9E50E0">
      <w:pPr>
        <w:spacing w:before="0" w:after="0" w:line="384" w:lineRule="auto"/>
        <w:ind w:firstLine="420"/>
      </w:pPr>
      <w:r>
        <w:rPr>
          <w:rFonts w:ascii="仿宋" w:hAnsi="仿宋" w:eastAsia="仿宋"/>
          <w:b w:val="0"/>
          <w:sz w:val="24"/>
        </w:rPr>
        <w:t>一是查清区域工程检测行业的技术发展趋势与人才需求总量，明确专业服务面向；二是梳理检测岗位的典型工作任务与能力要求，为课程内容找到可核对的依据；三是提炼企业现行的生产标准与检测业务流程，解决课程内容与标准更新不同步的问题；四是评估近三届毕业生的能力现状，找准培养环节的薄弱点；五是形成2026级人才培养方案修订与现场工程师学院课程、师资、实训条件建设的建议。</w:t>
      </w:r>
    </w:p>
    <w:p w14:paraId="6D205CF0">
      <w:pPr>
        <w:spacing w:before="200" w:after="80" w:line="336" w:lineRule="auto"/>
        <w:ind w:firstLine="0"/>
      </w:pPr>
      <w:r>
        <w:rPr>
          <w:rFonts w:ascii="黑体" w:hAnsi="黑体" w:eastAsia="黑体"/>
          <w:b/>
          <w:sz w:val="28"/>
        </w:rPr>
        <w:t>二、调研的方法与对象</w:t>
      </w:r>
    </w:p>
    <w:p w14:paraId="3036DC72">
      <w:pPr>
        <w:spacing w:before="120" w:after="40" w:line="336" w:lineRule="auto"/>
        <w:ind w:firstLine="0"/>
      </w:pPr>
      <w:r>
        <w:rPr>
          <w:rFonts w:ascii="黑体" w:hAnsi="黑体" w:eastAsia="黑体"/>
          <w:b/>
          <w:sz w:val="24"/>
        </w:rPr>
        <w:t>1.调研方法</w:t>
      </w:r>
    </w:p>
    <w:p w14:paraId="7D6AB6E7">
      <w:pPr>
        <w:spacing w:before="0" w:after="0" w:line="384" w:lineRule="auto"/>
        <w:ind w:firstLine="420"/>
      </w:pPr>
      <w:r>
        <w:rPr>
          <w:rFonts w:ascii="仿宋" w:hAnsi="仿宋" w:eastAsia="仿宋"/>
          <w:b w:val="0"/>
          <w:sz w:val="24"/>
        </w:rPr>
        <w:t>采用问卷调查、半结构化访谈、文献研究、实地考察四法并用、交叉验证。问卷分企业、毕业生、兄弟院校三套，围绕岗位设置、能力重要性、能力满意度、证书要求、校企合作意愿设计题项；访谈以“岗位上每天做什么、依据哪本标准、哪一步最容易出错”为主线追问；实地考察进入检测机构试验室与施工现场，按收样、检测、报告三个环节跟岗观察，形成岗位任务写实记录。</w:t>
      </w:r>
    </w:p>
    <w:p w14:paraId="55B64CA4">
      <w:pPr>
        <w:spacing w:before="120" w:after="40" w:line="336" w:lineRule="auto"/>
        <w:ind w:firstLine="0"/>
      </w:pPr>
      <w:r>
        <w:rPr>
          <w:rFonts w:ascii="黑体" w:hAnsi="黑体" w:eastAsia="黑体"/>
          <w:b/>
          <w:sz w:val="24"/>
        </w:rPr>
        <w:t>2.调研对象</w:t>
      </w:r>
    </w:p>
    <w:p w14:paraId="573BFE23">
      <w:pPr>
        <w:spacing w:before="0" w:after="0" w:line="384" w:lineRule="auto"/>
        <w:ind w:firstLine="420"/>
      </w:pPr>
      <w:r>
        <w:rPr>
          <w:rFonts w:ascii="仿宋" w:hAnsi="仿宋" w:eastAsia="仿宋"/>
          <w:b w:val="0"/>
          <w:sz w:val="24"/>
        </w:rPr>
        <w:t>企业样本兼顾规模、地域与业务领域，覆盖房建、市政、公路、铁路、水利等方向，以合作企业江西建院工程检测有限公司为主体，同时覆盖中铁隧道局集团试验检测有限公司等其他检测机构；毕业生样本覆盖检测公司、施工单位、监理单位、政府质监部门等就业去向；院校样本选取省内外开设同类专业的高职院校8所。样本构成见表1。</w:t>
      </w:r>
    </w:p>
    <w:p w14:paraId="07211BC1">
      <w:pPr>
        <w:spacing w:before="120" w:after="40" w:line="288" w:lineRule="auto"/>
        <w:ind w:firstLine="0"/>
        <w:jc w:val="center"/>
      </w:pPr>
      <w:r>
        <w:rPr>
          <w:rFonts w:ascii="仿宋" w:hAnsi="仿宋" w:eastAsia="仿宋"/>
          <w:b/>
          <w:sz w:val="21"/>
        </w:rPr>
        <w:t>表1　调研样本构成</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4"/>
        <w:gridCol w:w="1361"/>
        <w:gridCol w:w="1247"/>
        <w:gridCol w:w="4762"/>
      </w:tblGrid>
      <w:tr w14:paraId="138D5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474" w:type="dxa"/>
            <w:vAlign w:val="center"/>
          </w:tcPr>
          <w:p w14:paraId="3F1671A0">
            <w:pPr>
              <w:spacing w:before="20" w:after="20" w:line="240" w:lineRule="auto"/>
              <w:ind w:firstLine="0"/>
              <w:jc w:val="center"/>
            </w:pPr>
            <w:r>
              <w:rPr>
                <w:rFonts w:ascii="仿宋" w:hAnsi="仿宋" w:eastAsia="仿宋"/>
                <w:b/>
                <w:sz w:val="17"/>
              </w:rPr>
              <w:t>调研对象</w:t>
            </w:r>
          </w:p>
        </w:tc>
        <w:tc>
          <w:tcPr>
            <w:tcW w:w="1361" w:type="dxa"/>
            <w:vAlign w:val="center"/>
          </w:tcPr>
          <w:p w14:paraId="19F4A69C">
            <w:pPr>
              <w:spacing w:before="20" w:after="20" w:line="240" w:lineRule="auto"/>
              <w:ind w:firstLine="0"/>
              <w:jc w:val="center"/>
            </w:pPr>
            <w:r>
              <w:rPr>
                <w:rFonts w:ascii="仿宋" w:hAnsi="仿宋" w:eastAsia="仿宋"/>
                <w:b/>
                <w:sz w:val="17"/>
              </w:rPr>
              <w:t>样本规模</w:t>
            </w:r>
          </w:p>
        </w:tc>
        <w:tc>
          <w:tcPr>
            <w:tcW w:w="1247" w:type="dxa"/>
            <w:vAlign w:val="center"/>
          </w:tcPr>
          <w:p w14:paraId="151BE576">
            <w:pPr>
              <w:spacing w:before="20" w:after="20" w:line="240" w:lineRule="auto"/>
              <w:ind w:firstLine="0"/>
              <w:jc w:val="center"/>
            </w:pPr>
            <w:r>
              <w:rPr>
                <w:rFonts w:ascii="仿宋" w:hAnsi="仿宋" w:eastAsia="仿宋"/>
                <w:b/>
                <w:sz w:val="17"/>
              </w:rPr>
              <w:t>有效样本</w:t>
            </w:r>
          </w:p>
        </w:tc>
        <w:tc>
          <w:tcPr>
            <w:tcW w:w="4762" w:type="dxa"/>
            <w:vAlign w:val="center"/>
          </w:tcPr>
          <w:p w14:paraId="6A4AD169">
            <w:pPr>
              <w:spacing w:before="20" w:after="20" w:line="240" w:lineRule="auto"/>
              <w:ind w:firstLine="0"/>
              <w:jc w:val="center"/>
            </w:pPr>
            <w:r>
              <w:rPr>
                <w:rFonts w:ascii="仿宋" w:hAnsi="仿宋" w:eastAsia="仿宋"/>
                <w:b/>
                <w:sz w:val="17"/>
              </w:rPr>
              <w:t>覆盖范围</w:t>
            </w:r>
          </w:p>
        </w:tc>
      </w:tr>
      <w:tr w14:paraId="58C37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4" w:type="dxa"/>
            <w:vAlign w:val="center"/>
          </w:tcPr>
          <w:p w14:paraId="77298806">
            <w:pPr>
              <w:spacing w:before="20" w:after="20" w:line="240" w:lineRule="auto"/>
              <w:ind w:firstLine="0"/>
              <w:jc w:val="center"/>
            </w:pPr>
            <w:r>
              <w:rPr>
                <w:rFonts w:ascii="仿宋" w:hAnsi="仿宋" w:eastAsia="仿宋"/>
                <w:b w:val="0"/>
                <w:sz w:val="17"/>
              </w:rPr>
              <w:t>企业</w:t>
            </w:r>
          </w:p>
        </w:tc>
        <w:tc>
          <w:tcPr>
            <w:tcW w:w="1361" w:type="dxa"/>
            <w:vAlign w:val="center"/>
          </w:tcPr>
          <w:p w14:paraId="60A48E90">
            <w:pPr>
              <w:spacing w:before="20" w:after="20" w:line="240" w:lineRule="auto"/>
              <w:ind w:firstLine="0"/>
              <w:jc w:val="left"/>
            </w:pPr>
            <w:r>
              <w:rPr>
                <w:rFonts w:ascii="仿宋" w:hAnsi="仿宋" w:eastAsia="仿宋"/>
                <w:b w:val="0"/>
                <w:sz w:val="17"/>
              </w:rPr>
              <w:t>10家</w:t>
            </w:r>
          </w:p>
        </w:tc>
        <w:tc>
          <w:tcPr>
            <w:tcW w:w="1247" w:type="dxa"/>
            <w:vAlign w:val="center"/>
          </w:tcPr>
          <w:p w14:paraId="107BFEA4">
            <w:pPr>
              <w:spacing w:before="20" w:after="20" w:line="240" w:lineRule="auto"/>
              <w:ind w:firstLine="0"/>
              <w:jc w:val="left"/>
            </w:pPr>
            <w:r>
              <w:rPr>
                <w:rFonts w:ascii="仿宋" w:hAnsi="仿宋" w:eastAsia="仿宋"/>
                <w:b w:val="0"/>
                <w:sz w:val="17"/>
              </w:rPr>
              <w:t>10家</w:t>
            </w:r>
          </w:p>
        </w:tc>
        <w:tc>
          <w:tcPr>
            <w:tcW w:w="4762" w:type="dxa"/>
            <w:vAlign w:val="center"/>
          </w:tcPr>
          <w:p w14:paraId="191B6615">
            <w:pPr>
              <w:spacing w:before="20" w:after="20" w:line="240" w:lineRule="auto"/>
              <w:ind w:firstLine="0"/>
              <w:jc w:val="left"/>
            </w:pPr>
            <w:r>
              <w:rPr>
                <w:rFonts w:ascii="仿宋" w:hAnsi="仿宋" w:eastAsia="仿宋"/>
                <w:b w:val="0"/>
                <w:sz w:val="17"/>
              </w:rPr>
              <w:t>检测机构（含合作企业江西建院工程检测有限公司）、施工企业试验室、监理单位</w:t>
            </w:r>
          </w:p>
        </w:tc>
      </w:tr>
      <w:tr w14:paraId="7A3B1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4" w:type="dxa"/>
            <w:vAlign w:val="center"/>
          </w:tcPr>
          <w:p w14:paraId="39279400">
            <w:pPr>
              <w:spacing w:before="20" w:after="20" w:line="240" w:lineRule="auto"/>
              <w:ind w:firstLine="0"/>
              <w:jc w:val="center"/>
            </w:pPr>
            <w:r>
              <w:rPr>
                <w:rFonts w:ascii="仿宋" w:hAnsi="仿宋" w:eastAsia="仿宋"/>
                <w:b w:val="0"/>
                <w:sz w:val="17"/>
              </w:rPr>
              <w:t>毕业生</w:t>
            </w:r>
          </w:p>
        </w:tc>
        <w:tc>
          <w:tcPr>
            <w:tcW w:w="1361" w:type="dxa"/>
            <w:vAlign w:val="center"/>
          </w:tcPr>
          <w:p w14:paraId="5BC64D2A">
            <w:pPr>
              <w:spacing w:before="20" w:after="20" w:line="240" w:lineRule="auto"/>
              <w:ind w:firstLine="0"/>
              <w:jc w:val="left"/>
            </w:pPr>
            <w:r>
              <w:rPr>
                <w:rFonts w:hint="eastAsia"/>
                <w:b w:val="0"/>
                <w:sz w:val="17"/>
                <w:lang w:val="en-US" w:eastAsia="zh-CN"/>
              </w:rPr>
              <w:t>2</w:t>
            </w:r>
            <w:r>
              <w:rPr>
                <w:rFonts w:ascii="仿宋" w:hAnsi="仿宋" w:eastAsia="仿宋"/>
                <w:b w:val="0"/>
                <w:sz w:val="17"/>
              </w:rPr>
              <w:t>0人</w:t>
            </w:r>
          </w:p>
        </w:tc>
        <w:tc>
          <w:tcPr>
            <w:tcW w:w="1247" w:type="dxa"/>
            <w:vAlign w:val="center"/>
          </w:tcPr>
          <w:p w14:paraId="1AC5120B">
            <w:pPr>
              <w:spacing w:before="20" w:after="20" w:line="240" w:lineRule="auto"/>
              <w:ind w:firstLine="0"/>
              <w:jc w:val="left"/>
            </w:pPr>
            <w:r>
              <w:rPr>
                <w:rFonts w:hint="eastAsia"/>
                <w:b w:val="0"/>
                <w:sz w:val="17"/>
                <w:lang w:val="en-US" w:eastAsia="zh-CN"/>
              </w:rPr>
              <w:t>20</w:t>
            </w:r>
            <w:r>
              <w:rPr>
                <w:rFonts w:ascii="仿宋" w:hAnsi="仿宋" w:eastAsia="仿宋"/>
                <w:b w:val="0"/>
                <w:sz w:val="17"/>
              </w:rPr>
              <w:t>人</w:t>
            </w:r>
          </w:p>
        </w:tc>
        <w:tc>
          <w:tcPr>
            <w:tcW w:w="4762" w:type="dxa"/>
            <w:vAlign w:val="center"/>
          </w:tcPr>
          <w:p w14:paraId="278581CA">
            <w:pPr>
              <w:spacing w:before="20" w:after="20" w:line="240" w:lineRule="auto"/>
              <w:ind w:firstLine="0"/>
              <w:jc w:val="left"/>
            </w:pPr>
            <w:r>
              <w:rPr>
                <w:rFonts w:ascii="仿宋" w:hAnsi="仿宋" w:eastAsia="仿宋"/>
                <w:b w:val="0"/>
                <w:sz w:val="17"/>
              </w:rPr>
              <w:t>毕业生，覆盖材料、结构、基桩、节能检测等岗位</w:t>
            </w:r>
          </w:p>
        </w:tc>
      </w:tr>
      <w:tr w14:paraId="31626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4" w:type="dxa"/>
            <w:vAlign w:val="center"/>
          </w:tcPr>
          <w:p w14:paraId="2BF1E72A">
            <w:pPr>
              <w:spacing w:before="20" w:after="20" w:line="240" w:lineRule="auto"/>
              <w:ind w:firstLine="0"/>
              <w:jc w:val="center"/>
            </w:pPr>
            <w:r>
              <w:rPr>
                <w:rFonts w:ascii="仿宋" w:hAnsi="仿宋" w:eastAsia="仿宋"/>
                <w:b w:val="0"/>
                <w:sz w:val="17"/>
              </w:rPr>
              <w:t>兄弟院校</w:t>
            </w:r>
          </w:p>
        </w:tc>
        <w:tc>
          <w:tcPr>
            <w:tcW w:w="1361" w:type="dxa"/>
            <w:vAlign w:val="center"/>
          </w:tcPr>
          <w:p w14:paraId="2DC859F2">
            <w:pPr>
              <w:spacing w:before="20" w:after="20" w:line="240" w:lineRule="auto"/>
              <w:ind w:firstLine="0"/>
              <w:jc w:val="left"/>
            </w:pPr>
            <w:r>
              <w:rPr>
                <w:rFonts w:ascii="仿宋" w:hAnsi="仿宋" w:eastAsia="仿宋"/>
                <w:b w:val="0"/>
                <w:sz w:val="17"/>
              </w:rPr>
              <w:t>8所</w:t>
            </w:r>
          </w:p>
        </w:tc>
        <w:tc>
          <w:tcPr>
            <w:tcW w:w="1247" w:type="dxa"/>
            <w:vAlign w:val="center"/>
          </w:tcPr>
          <w:p w14:paraId="692762C5">
            <w:pPr>
              <w:spacing w:before="20" w:after="20" w:line="240" w:lineRule="auto"/>
              <w:ind w:firstLine="0"/>
              <w:jc w:val="left"/>
            </w:pPr>
            <w:r>
              <w:rPr>
                <w:rFonts w:ascii="仿宋" w:hAnsi="仿宋" w:eastAsia="仿宋"/>
                <w:b w:val="0"/>
                <w:sz w:val="17"/>
              </w:rPr>
              <w:t>8所</w:t>
            </w:r>
          </w:p>
        </w:tc>
        <w:tc>
          <w:tcPr>
            <w:tcW w:w="4762" w:type="dxa"/>
            <w:vAlign w:val="center"/>
          </w:tcPr>
          <w:p w14:paraId="288A8724">
            <w:pPr>
              <w:spacing w:before="20" w:after="20" w:line="240" w:lineRule="auto"/>
              <w:ind w:firstLine="0"/>
              <w:jc w:val="left"/>
            </w:pPr>
            <w:r>
              <w:rPr>
                <w:rFonts w:ascii="仿宋" w:hAnsi="仿宋" w:eastAsia="仿宋"/>
                <w:b w:val="0"/>
                <w:sz w:val="17"/>
              </w:rPr>
              <w:t>省内外开设土木工程检测技术或相近专业的高职院校</w:t>
            </w:r>
          </w:p>
        </w:tc>
      </w:tr>
      <w:tr w14:paraId="365B0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4" w:type="dxa"/>
            <w:vAlign w:val="center"/>
          </w:tcPr>
          <w:p w14:paraId="260414DD">
            <w:pPr>
              <w:spacing w:before="20" w:after="20" w:line="240" w:lineRule="auto"/>
              <w:ind w:firstLine="0"/>
              <w:jc w:val="center"/>
            </w:pPr>
            <w:r>
              <w:rPr>
                <w:rFonts w:ascii="仿宋" w:hAnsi="仿宋" w:eastAsia="仿宋"/>
                <w:b w:val="0"/>
                <w:sz w:val="17"/>
              </w:rPr>
              <w:t>深度访谈</w:t>
            </w:r>
          </w:p>
        </w:tc>
        <w:tc>
          <w:tcPr>
            <w:tcW w:w="1361" w:type="dxa"/>
            <w:vAlign w:val="center"/>
          </w:tcPr>
          <w:p w14:paraId="21225A1F">
            <w:pPr>
              <w:spacing w:before="20" w:after="20" w:line="240" w:lineRule="auto"/>
              <w:ind w:firstLine="0"/>
              <w:jc w:val="left"/>
            </w:pPr>
            <w:r>
              <w:rPr>
                <w:rFonts w:ascii="仿宋" w:hAnsi="仿宋" w:eastAsia="仿宋"/>
                <w:b w:val="0"/>
                <w:sz w:val="17"/>
              </w:rPr>
              <w:t>32人</w:t>
            </w:r>
          </w:p>
        </w:tc>
        <w:tc>
          <w:tcPr>
            <w:tcW w:w="1247" w:type="dxa"/>
            <w:vAlign w:val="center"/>
          </w:tcPr>
          <w:p w14:paraId="4F8120F9">
            <w:pPr>
              <w:spacing w:before="20" w:after="20" w:line="240" w:lineRule="auto"/>
              <w:ind w:firstLine="0"/>
              <w:jc w:val="left"/>
            </w:pPr>
            <w:r>
              <w:rPr>
                <w:rFonts w:ascii="仿宋" w:hAnsi="仿宋" w:eastAsia="仿宋"/>
                <w:b w:val="0"/>
                <w:sz w:val="17"/>
              </w:rPr>
              <w:t>32人</w:t>
            </w:r>
          </w:p>
        </w:tc>
        <w:tc>
          <w:tcPr>
            <w:tcW w:w="4762" w:type="dxa"/>
            <w:vAlign w:val="center"/>
          </w:tcPr>
          <w:p w14:paraId="5F3E4790">
            <w:pPr>
              <w:spacing w:before="20" w:after="20" w:line="240" w:lineRule="auto"/>
              <w:ind w:firstLine="0"/>
              <w:jc w:val="left"/>
            </w:pPr>
            <w:r>
              <w:rPr>
                <w:rFonts w:ascii="仿宋" w:hAnsi="仿宋" w:eastAsia="仿宋"/>
                <w:b w:val="0"/>
                <w:sz w:val="17"/>
              </w:rPr>
              <w:t>企业技术负责人、授权签字人、检测工程师、专业带头人</w:t>
            </w:r>
          </w:p>
        </w:tc>
      </w:tr>
      <w:tr w14:paraId="49E9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4" w:type="dxa"/>
            <w:vAlign w:val="center"/>
          </w:tcPr>
          <w:p w14:paraId="408EA374">
            <w:pPr>
              <w:spacing w:before="20" w:after="20" w:line="240" w:lineRule="auto"/>
              <w:ind w:firstLine="0"/>
              <w:jc w:val="center"/>
            </w:pPr>
            <w:r>
              <w:rPr>
                <w:rFonts w:ascii="仿宋" w:hAnsi="仿宋" w:eastAsia="仿宋"/>
                <w:b w:val="0"/>
                <w:sz w:val="17"/>
              </w:rPr>
              <w:t>现场观察</w:t>
            </w:r>
          </w:p>
        </w:tc>
        <w:tc>
          <w:tcPr>
            <w:tcW w:w="1361" w:type="dxa"/>
            <w:vAlign w:val="center"/>
          </w:tcPr>
          <w:p w14:paraId="23BCD2C5">
            <w:pPr>
              <w:spacing w:before="20" w:after="20" w:line="240" w:lineRule="auto"/>
              <w:ind w:firstLine="0"/>
              <w:jc w:val="left"/>
            </w:pPr>
            <w:r>
              <w:rPr>
                <w:rFonts w:ascii="仿宋" w:hAnsi="仿宋" w:eastAsia="仿宋"/>
                <w:b w:val="0"/>
                <w:sz w:val="17"/>
              </w:rPr>
              <w:t>6个</w:t>
            </w:r>
          </w:p>
        </w:tc>
        <w:tc>
          <w:tcPr>
            <w:tcW w:w="1247" w:type="dxa"/>
            <w:vAlign w:val="center"/>
          </w:tcPr>
          <w:p w14:paraId="5116E41D">
            <w:pPr>
              <w:spacing w:before="20" w:after="20" w:line="240" w:lineRule="auto"/>
              <w:ind w:firstLine="0"/>
              <w:jc w:val="left"/>
            </w:pPr>
            <w:r>
              <w:rPr>
                <w:rFonts w:ascii="仿宋" w:hAnsi="仿宋" w:eastAsia="仿宋"/>
                <w:b w:val="0"/>
                <w:sz w:val="17"/>
              </w:rPr>
              <w:t>6个</w:t>
            </w:r>
          </w:p>
        </w:tc>
        <w:tc>
          <w:tcPr>
            <w:tcW w:w="4762" w:type="dxa"/>
            <w:vAlign w:val="center"/>
          </w:tcPr>
          <w:p w14:paraId="292F131A">
            <w:pPr>
              <w:spacing w:before="20" w:after="20" w:line="240" w:lineRule="auto"/>
              <w:ind w:firstLine="0"/>
              <w:jc w:val="left"/>
            </w:pPr>
            <w:r>
              <w:rPr>
                <w:rFonts w:ascii="仿宋" w:hAnsi="仿宋" w:eastAsia="仿宋"/>
                <w:b w:val="0"/>
                <w:sz w:val="17"/>
              </w:rPr>
              <w:t>检测机构试验室4个、在建项目2个</w:t>
            </w:r>
          </w:p>
        </w:tc>
      </w:tr>
    </w:tbl>
    <w:p w14:paraId="593E5C0A">
      <w:pPr>
        <w:spacing w:before="0" w:after="40" w:line="240" w:lineRule="auto"/>
        <w:ind w:firstLine="0"/>
      </w:pPr>
    </w:p>
    <w:p w14:paraId="5C0FF931">
      <w:pPr>
        <w:spacing w:before="120" w:after="40" w:line="336" w:lineRule="auto"/>
        <w:ind w:firstLine="0"/>
      </w:pPr>
      <w:r>
        <w:rPr>
          <w:rFonts w:ascii="黑体" w:hAnsi="黑体" w:eastAsia="黑体"/>
          <w:b/>
          <w:sz w:val="24"/>
        </w:rPr>
        <w:t>3.调研时间</w:t>
      </w:r>
    </w:p>
    <w:p w14:paraId="05B9E19C">
      <w:pPr>
        <w:spacing w:before="0" w:after="0" w:line="384" w:lineRule="auto"/>
        <w:ind w:firstLine="420"/>
      </w:pPr>
      <w:r>
        <w:rPr>
          <w:rFonts w:ascii="仿宋" w:hAnsi="仿宋" w:eastAsia="仿宋"/>
          <w:b w:val="0"/>
          <w:sz w:val="24"/>
        </w:rPr>
        <w:t>2025年11月至2026年5月，分两轮进行：第一轮为问卷发放与数据回收（2025年11—12月），第二轮为实地走访、跟岗观察与深度访谈（2026年3—5月）。</w:t>
      </w:r>
    </w:p>
    <w:p w14:paraId="5B7C1F0F">
      <w:pPr>
        <w:spacing w:before="200" w:after="80" w:line="336" w:lineRule="auto"/>
        <w:ind w:firstLine="0"/>
      </w:pPr>
      <w:r>
        <w:rPr>
          <w:rFonts w:ascii="黑体" w:hAnsi="黑体" w:eastAsia="黑体"/>
          <w:b/>
          <w:sz w:val="28"/>
        </w:rPr>
        <w:t>三、调研的核心数据发现</w:t>
      </w:r>
    </w:p>
    <w:p w14:paraId="50599EFC">
      <w:pPr>
        <w:spacing w:before="120" w:after="40" w:line="336" w:lineRule="auto"/>
        <w:ind w:firstLine="0"/>
      </w:pPr>
      <w:r>
        <w:rPr>
          <w:rFonts w:ascii="黑体" w:hAnsi="黑体" w:eastAsia="黑体"/>
          <w:b/>
          <w:sz w:val="24"/>
        </w:rPr>
        <w:t>1.企业对检测技能的需求</w:t>
      </w:r>
    </w:p>
    <w:p w14:paraId="78C5E617">
      <w:pPr>
        <w:spacing w:before="0" w:after="0" w:line="384" w:lineRule="auto"/>
        <w:ind w:firstLine="420"/>
      </w:pPr>
      <w:r>
        <w:rPr>
          <w:rFonts w:ascii="仿宋" w:hAnsi="仿宋" w:eastAsia="仿宋"/>
          <w:b w:val="0"/>
          <w:sz w:val="24"/>
        </w:rPr>
        <w:t>材料检测是基础，也是企业最核心的技能要求。100%的受访企业将“工程材料性能检测”列为必备技能，最看重水泥、砂石、钢筋、混凝土、沥青等常用材料常规性能指标的检测能力。超过90%的企业认为“土木工程结构实体检测”是核心技能，要求掌握回弹法、钻芯法、超声回弹综合法等实体检测方法，并能依据《混凝土结构工程施工质量验收规范》判定。约75%的企业涉及基桩检测业务，需求集中在成孔质量检测、单桩竖向抗压与抗拔静载试验、低应变与高应变检测、声波透射法检测。约85%的企业将无损检测列为优先招聘条件，要求不仅会操作仪器，还要能判读波形、理解标准适用范围。</w:t>
      </w:r>
    </w:p>
    <w:p w14:paraId="06D846C1">
      <w:pPr>
        <w:spacing w:before="0" w:after="0" w:line="384" w:lineRule="auto"/>
        <w:ind w:firstLine="420"/>
      </w:pPr>
      <w:r>
        <w:rPr>
          <w:rFonts w:ascii="仿宋" w:hAnsi="仿宋" w:eastAsia="仿宋"/>
          <w:b w:val="0"/>
          <w:sz w:val="24"/>
        </w:rPr>
        <w:t>值得注意的是，企业对“复合能力”的重视程度明显上升：既会检测、又会用标准判定、还能编制规范报告的毕业生，起薪与晋升速度均高于只会单一操作的毕业生。企业普遍反映，最紧缺的不是“会做试验的人”，而是“懂标准、会判定、能签报告、守规矩”的检测人员。</w:t>
      </w:r>
    </w:p>
    <w:p w14:paraId="1BFB990C">
      <w:pPr>
        <w:spacing w:before="120" w:after="40" w:line="336" w:lineRule="auto"/>
        <w:ind w:firstLine="0"/>
      </w:pPr>
      <w:r>
        <w:rPr>
          <w:rFonts w:ascii="黑体" w:hAnsi="黑体" w:eastAsia="黑体"/>
          <w:b/>
          <w:sz w:val="24"/>
        </w:rPr>
        <w:t>2.毕业生能力现状</w:t>
      </w:r>
    </w:p>
    <w:p w14:paraId="14C16DAB">
      <w:pPr>
        <w:spacing w:before="0" w:after="0" w:line="384" w:lineRule="auto"/>
        <w:ind w:firstLine="420"/>
      </w:pPr>
      <w:r>
        <w:rPr>
          <w:rFonts w:ascii="仿宋" w:hAnsi="仿宋" w:eastAsia="仿宋"/>
          <w:b w:val="0"/>
          <w:sz w:val="24"/>
        </w:rPr>
        <w:t>毕业生对常规材料检测的操作较为熟练，但在三类能力上明显偏弱：一是结构实体检测与基桩检测，因校内缺少对应设备与真实构件，多数毕业生只在视频和仿真中见过；二是标准查用与结果判定，遇到标准修订或非标准样品时容易停摆；三是收样、委托、报告编制与归档等流程性工作，因校内实训以单项试验为主，毕业生到岗后需重新学习。毕业生普遍建议增加真实项目训练和标准查用训练。</w:t>
      </w:r>
    </w:p>
    <w:p w14:paraId="2D0DFDC4">
      <w:pPr>
        <w:spacing w:before="120" w:after="40" w:line="336" w:lineRule="auto"/>
        <w:ind w:firstLine="0"/>
      </w:pPr>
      <w:r>
        <w:rPr>
          <w:rFonts w:ascii="黑体" w:hAnsi="黑体" w:eastAsia="黑体"/>
          <w:b/>
          <w:sz w:val="24"/>
        </w:rPr>
        <w:t>3.证书与职业素养要求</w:t>
      </w:r>
    </w:p>
    <w:p w14:paraId="6E8D67EF">
      <w:pPr>
        <w:spacing w:before="0" w:after="0" w:line="384" w:lineRule="auto"/>
        <w:ind w:firstLine="420"/>
      </w:pPr>
      <w:r>
        <w:rPr>
          <w:rFonts w:ascii="仿宋" w:hAnsi="仿宋" w:eastAsia="仿宋"/>
          <w:b w:val="0"/>
          <w:sz w:val="24"/>
        </w:rPr>
        <w:t>企业普遍要求毕业生在3年内取得检测员岗位证书，并将“数据真实性”作为用人底线。超过八成的受访企业表示，对篡改、编造检测数据的行为“一票否决”。这说明职业素养不是软指标，而是岗位准入条件，必须在培养环节以制度化的方式落实。</w:t>
      </w:r>
    </w:p>
    <w:p w14:paraId="2B4B2F5E">
      <w:pPr>
        <w:spacing w:before="200" w:after="80" w:line="336" w:lineRule="auto"/>
        <w:ind w:firstLine="0"/>
      </w:pPr>
      <w:r>
        <w:rPr>
          <w:rFonts w:ascii="黑体" w:hAnsi="黑体" w:eastAsia="黑体"/>
          <w:b/>
          <w:sz w:val="28"/>
        </w:rPr>
        <w:t>四、企业生产标准、生产流程与岗位任务</w:t>
      </w:r>
    </w:p>
    <w:p w14:paraId="492BB73D">
      <w:pPr>
        <w:spacing w:before="120" w:after="40" w:line="336" w:lineRule="auto"/>
        <w:ind w:firstLine="0"/>
      </w:pPr>
      <w:r>
        <w:rPr>
          <w:rFonts w:ascii="黑体" w:hAnsi="黑体" w:eastAsia="黑体"/>
          <w:b/>
          <w:sz w:val="24"/>
        </w:rPr>
        <w:t>1.企业生产标准</w:t>
      </w:r>
    </w:p>
    <w:p w14:paraId="15E81E80">
      <w:pPr>
        <w:spacing w:before="0" w:after="0" w:line="384" w:lineRule="auto"/>
        <w:ind w:firstLine="420"/>
      </w:pPr>
      <w:r>
        <w:rPr>
          <w:rFonts w:ascii="仿宋" w:hAnsi="仿宋" w:eastAsia="仿宋"/>
          <w:b w:val="0"/>
          <w:sz w:val="24"/>
        </w:rPr>
        <w:t>工程检测企业的标准体系可分四个层次：产品标准规定材料应当达到的技术指标，是判定合格的直接依据；检测方法标准规定试验设备、步骤、环境条件与结果计算方式，是现场操作的直接依据；检验评定与验收标准规定批量产品的合格判定规则和工程实体的验收要求；机构管理体系文件规定收样、流转、报告、审核、归档等管理要求，是数据可追溯的制度保障。四个层次缺一不可：只知产品标准不知方法标准，做不出规范数据；只知方法标准不知评定标准，判不出合格与否；不懂管理体系文件，报告签不出去、档案归不了档。与专业核心课程直接对应的主要现行标准见表2。</w:t>
      </w:r>
    </w:p>
    <w:p w14:paraId="40253F00">
      <w:pPr>
        <w:spacing w:before="120" w:after="40" w:line="288" w:lineRule="auto"/>
        <w:ind w:firstLine="0"/>
        <w:jc w:val="center"/>
      </w:pPr>
      <w:r>
        <w:rPr>
          <w:rFonts w:ascii="仿宋" w:hAnsi="仿宋" w:eastAsia="仿宋"/>
          <w:b/>
          <w:sz w:val="21"/>
        </w:rPr>
        <w:t>表2　工程检测主要现行标准及教学用途</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134"/>
        <w:gridCol w:w="4309"/>
        <w:gridCol w:w="2948"/>
      </w:tblGrid>
      <w:tr w14:paraId="03B56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67" w:type="dxa"/>
            <w:vAlign w:val="center"/>
          </w:tcPr>
          <w:p w14:paraId="2FD4C822">
            <w:pPr>
              <w:spacing w:before="20" w:after="20" w:line="240" w:lineRule="auto"/>
              <w:ind w:firstLine="0"/>
              <w:jc w:val="center"/>
            </w:pPr>
            <w:r>
              <w:rPr>
                <w:rFonts w:ascii="仿宋" w:hAnsi="仿宋" w:eastAsia="仿宋"/>
                <w:b/>
                <w:sz w:val="16"/>
              </w:rPr>
              <w:t>序号</w:t>
            </w:r>
          </w:p>
        </w:tc>
        <w:tc>
          <w:tcPr>
            <w:tcW w:w="1134" w:type="dxa"/>
            <w:vAlign w:val="center"/>
          </w:tcPr>
          <w:p w14:paraId="69576D21">
            <w:pPr>
              <w:spacing w:before="20" w:after="20" w:line="240" w:lineRule="auto"/>
              <w:ind w:firstLine="0"/>
              <w:jc w:val="center"/>
            </w:pPr>
            <w:r>
              <w:rPr>
                <w:rFonts w:ascii="仿宋" w:hAnsi="仿宋" w:eastAsia="仿宋"/>
                <w:b/>
                <w:sz w:val="16"/>
              </w:rPr>
              <w:t>标准类别</w:t>
            </w:r>
          </w:p>
        </w:tc>
        <w:tc>
          <w:tcPr>
            <w:tcW w:w="4309" w:type="dxa"/>
            <w:vAlign w:val="center"/>
          </w:tcPr>
          <w:p w14:paraId="60517069">
            <w:pPr>
              <w:spacing w:before="20" w:after="20" w:line="240" w:lineRule="auto"/>
              <w:ind w:firstLine="0"/>
              <w:jc w:val="center"/>
            </w:pPr>
            <w:r>
              <w:rPr>
                <w:rFonts w:ascii="仿宋" w:hAnsi="仿宋" w:eastAsia="仿宋"/>
                <w:b/>
                <w:sz w:val="16"/>
              </w:rPr>
              <w:t>标准名称与编号</w:t>
            </w:r>
          </w:p>
        </w:tc>
        <w:tc>
          <w:tcPr>
            <w:tcW w:w="2948" w:type="dxa"/>
            <w:vAlign w:val="center"/>
          </w:tcPr>
          <w:p w14:paraId="4D7DD358">
            <w:pPr>
              <w:spacing w:before="20" w:after="20" w:line="240" w:lineRule="auto"/>
              <w:ind w:firstLine="0"/>
              <w:jc w:val="center"/>
            </w:pPr>
            <w:r>
              <w:rPr>
                <w:rFonts w:ascii="仿宋" w:hAnsi="仿宋" w:eastAsia="仿宋"/>
                <w:b/>
                <w:sz w:val="16"/>
              </w:rPr>
              <w:t>教学用途</w:t>
            </w:r>
          </w:p>
        </w:tc>
      </w:tr>
      <w:tr w14:paraId="48984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82EF201">
            <w:pPr>
              <w:spacing w:before="20" w:after="20" w:line="240" w:lineRule="auto"/>
              <w:ind w:firstLine="0"/>
              <w:jc w:val="center"/>
            </w:pPr>
            <w:r>
              <w:rPr>
                <w:rFonts w:ascii="仿宋" w:hAnsi="仿宋" w:eastAsia="仿宋"/>
                <w:b w:val="0"/>
                <w:sz w:val="16"/>
              </w:rPr>
              <w:t>1</w:t>
            </w:r>
          </w:p>
        </w:tc>
        <w:tc>
          <w:tcPr>
            <w:tcW w:w="1134" w:type="dxa"/>
            <w:vAlign w:val="center"/>
          </w:tcPr>
          <w:p w14:paraId="26DA7A9B">
            <w:pPr>
              <w:spacing w:before="20" w:after="20" w:line="240" w:lineRule="auto"/>
              <w:ind w:firstLine="0"/>
              <w:jc w:val="left"/>
            </w:pPr>
            <w:r>
              <w:rPr>
                <w:rFonts w:ascii="仿宋" w:hAnsi="仿宋" w:eastAsia="仿宋"/>
                <w:b w:val="0"/>
                <w:sz w:val="16"/>
              </w:rPr>
              <w:t>产品标准</w:t>
            </w:r>
          </w:p>
        </w:tc>
        <w:tc>
          <w:tcPr>
            <w:tcW w:w="4309" w:type="dxa"/>
            <w:vAlign w:val="center"/>
          </w:tcPr>
          <w:p w14:paraId="769587BE">
            <w:pPr>
              <w:spacing w:before="20" w:after="20" w:line="240" w:lineRule="auto"/>
              <w:ind w:firstLine="0"/>
              <w:jc w:val="left"/>
            </w:pPr>
            <w:r>
              <w:rPr>
                <w:rFonts w:ascii="仿宋" w:hAnsi="仿宋" w:eastAsia="仿宋"/>
                <w:b w:val="0"/>
                <w:sz w:val="16"/>
              </w:rPr>
              <w:t>GB 175—2023《通用硅酸盐水泥》</w:t>
            </w:r>
          </w:p>
        </w:tc>
        <w:tc>
          <w:tcPr>
            <w:tcW w:w="2948" w:type="dxa"/>
            <w:vAlign w:val="center"/>
          </w:tcPr>
          <w:p w14:paraId="3B168715">
            <w:pPr>
              <w:spacing w:before="20" w:after="20" w:line="240" w:lineRule="auto"/>
              <w:ind w:firstLine="0"/>
              <w:jc w:val="left"/>
            </w:pPr>
            <w:r>
              <w:rPr>
                <w:rFonts w:ascii="仿宋" w:hAnsi="仿宋" w:eastAsia="仿宋"/>
                <w:b w:val="0"/>
                <w:sz w:val="16"/>
              </w:rPr>
              <w:t>水泥进场验收、取样基数与合格判定</w:t>
            </w:r>
          </w:p>
        </w:tc>
      </w:tr>
      <w:tr w14:paraId="5B9FC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4708B87">
            <w:pPr>
              <w:spacing w:before="20" w:after="20" w:line="240" w:lineRule="auto"/>
              <w:ind w:firstLine="0"/>
              <w:jc w:val="center"/>
            </w:pPr>
            <w:r>
              <w:rPr>
                <w:rFonts w:ascii="仿宋" w:hAnsi="仿宋" w:eastAsia="仿宋"/>
                <w:b w:val="0"/>
                <w:sz w:val="16"/>
              </w:rPr>
              <w:t>2</w:t>
            </w:r>
          </w:p>
        </w:tc>
        <w:tc>
          <w:tcPr>
            <w:tcW w:w="1134" w:type="dxa"/>
            <w:vAlign w:val="center"/>
          </w:tcPr>
          <w:p w14:paraId="0D482E3B">
            <w:pPr>
              <w:spacing w:before="20" w:after="20" w:line="240" w:lineRule="auto"/>
              <w:ind w:firstLine="0"/>
              <w:jc w:val="left"/>
            </w:pPr>
            <w:r>
              <w:rPr>
                <w:rFonts w:ascii="仿宋" w:hAnsi="仿宋" w:eastAsia="仿宋"/>
                <w:b w:val="0"/>
                <w:sz w:val="16"/>
              </w:rPr>
              <w:t>产品标准</w:t>
            </w:r>
          </w:p>
        </w:tc>
        <w:tc>
          <w:tcPr>
            <w:tcW w:w="4309" w:type="dxa"/>
            <w:vAlign w:val="center"/>
          </w:tcPr>
          <w:p w14:paraId="530C58A8">
            <w:pPr>
              <w:spacing w:before="20" w:after="20" w:line="240" w:lineRule="auto"/>
              <w:ind w:firstLine="0"/>
              <w:jc w:val="left"/>
            </w:pPr>
            <w:r>
              <w:rPr>
                <w:rFonts w:ascii="仿宋" w:hAnsi="仿宋" w:eastAsia="仿宋"/>
                <w:b w:val="0"/>
                <w:sz w:val="16"/>
              </w:rPr>
              <w:t>GB/T 14684—2022《建设用砂》</w:t>
            </w:r>
          </w:p>
        </w:tc>
        <w:tc>
          <w:tcPr>
            <w:tcW w:w="2948" w:type="dxa"/>
            <w:vAlign w:val="center"/>
          </w:tcPr>
          <w:p w14:paraId="1102BEA0">
            <w:pPr>
              <w:spacing w:before="20" w:after="20" w:line="240" w:lineRule="auto"/>
              <w:ind w:firstLine="0"/>
              <w:jc w:val="left"/>
            </w:pPr>
            <w:r>
              <w:rPr>
                <w:rFonts w:ascii="仿宋" w:hAnsi="仿宋" w:eastAsia="仿宋"/>
                <w:b w:val="0"/>
                <w:sz w:val="16"/>
              </w:rPr>
              <w:t>骨料级配、含泥量与泥块含量检验</w:t>
            </w:r>
          </w:p>
        </w:tc>
      </w:tr>
      <w:tr w14:paraId="5F5B3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842F9AE">
            <w:pPr>
              <w:spacing w:before="20" w:after="20" w:line="240" w:lineRule="auto"/>
              <w:ind w:firstLine="0"/>
              <w:jc w:val="center"/>
            </w:pPr>
            <w:r>
              <w:rPr>
                <w:rFonts w:ascii="仿宋" w:hAnsi="仿宋" w:eastAsia="仿宋"/>
                <w:b w:val="0"/>
                <w:sz w:val="16"/>
              </w:rPr>
              <w:t>3</w:t>
            </w:r>
          </w:p>
        </w:tc>
        <w:tc>
          <w:tcPr>
            <w:tcW w:w="1134" w:type="dxa"/>
            <w:vAlign w:val="center"/>
          </w:tcPr>
          <w:p w14:paraId="7CDD7C4D">
            <w:pPr>
              <w:spacing w:before="20" w:after="20" w:line="240" w:lineRule="auto"/>
              <w:ind w:firstLine="0"/>
              <w:jc w:val="left"/>
            </w:pPr>
            <w:r>
              <w:rPr>
                <w:rFonts w:ascii="仿宋" w:hAnsi="仿宋" w:eastAsia="仿宋"/>
                <w:b w:val="0"/>
                <w:sz w:val="16"/>
              </w:rPr>
              <w:t>产品标准</w:t>
            </w:r>
          </w:p>
        </w:tc>
        <w:tc>
          <w:tcPr>
            <w:tcW w:w="4309" w:type="dxa"/>
            <w:vAlign w:val="center"/>
          </w:tcPr>
          <w:p w14:paraId="2A33E200">
            <w:pPr>
              <w:spacing w:before="20" w:after="20" w:line="240" w:lineRule="auto"/>
              <w:ind w:firstLine="0"/>
              <w:jc w:val="left"/>
            </w:pPr>
            <w:r>
              <w:rPr>
                <w:rFonts w:ascii="仿宋" w:hAnsi="仿宋" w:eastAsia="仿宋"/>
                <w:b w:val="0"/>
                <w:sz w:val="16"/>
              </w:rPr>
              <w:t>GB/T 1499.2—2018《钢筋混凝土用钢 第2部分：热轧带肋钢筋》</w:t>
            </w:r>
          </w:p>
        </w:tc>
        <w:tc>
          <w:tcPr>
            <w:tcW w:w="2948" w:type="dxa"/>
            <w:vAlign w:val="center"/>
          </w:tcPr>
          <w:p w14:paraId="219616D5">
            <w:pPr>
              <w:spacing w:before="20" w:after="20" w:line="240" w:lineRule="auto"/>
              <w:ind w:firstLine="0"/>
              <w:jc w:val="left"/>
            </w:pPr>
            <w:r>
              <w:rPr>
                <w:rFonts w:ascii="仿宋" w:hAnsi="仿宋" w:eastAsia="仿宋"/>
                <w:b w:val="0"/>
                <w:sz w:val="16"/>
              </w:rPr>
              <w:t>钢筋力学性能与重量偏差检验</w:t>
            </w:r>
          </w:p>
        </w:tc>
      </w:tr>
      <w:tr w14:paraId="4CC31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E930220">
            <w:pPr>
              <w:spacing w:before="20" w:after="20" w:line="240" w:lineRule="auto"/>
              <w:ind w:firstLine="0"/>
              <w:jc w:val="center"/>
            </w:pPr>
            <w:r>
              <w:rPr>
                <w:rFonts w:ascii="仿宋" w:hAnsi="仿宋" w:eastAsia="仿宋"/>
                <w:b w:val="0"/>
                <w:sz w:val="16"/>
              </w:rPr>
              <w:t>4</w:t>
            </w:r>
          </w:p>
        </w:tc>
        <w:tc>
          <w:tcPr>
            <w:tcW w:w="1134" w:type="dxa"/>
            <w:vAlign w:val="center"/>
          </w:tcPr>
          <w:p w14:paraId="4EE021A7">
            <w:pPr>
              <w:spacing w:before="20" w:after="20" w:line="240" w:lineRule="auto"/>
              <w:ind w:firstLine="0"/>
              <w:jc w:val="left"/>
            </w:pPr>
            <w:r>
              <w:rPr>
                <w:rFonts w:ascii="仿宋" w:hAnsi="仿宋" w:eastAsia="仿宋"/>
                <w:b w:val="0"/>
                <w:sz w:val="16"/>
              </w:rPr>
              <w:t>方法标准</w:t>
            </w:r>
          </w:p>
        </w:tc>
        <w:tc>
          <w:tcPr>
            <w:tcW w:w="4309" w:type="dxa"/>
            <w:vAlign w:val="center"/>
          </w:tcPr>
          <w:p w14:paraId="3537CC5D">
            <w:pPr>
              <w:spacing w:before="20" w:after="20" w:line="240" w:lineRule="auto"/>
              <w:ind w:firstLine="0"/>
              <w:jc w:val="left"/>
            </w:pPr>
            <w:r>
              <w:rPr>
                <w:rFonts w:ascii="仿宋" w:hAnsi="仿宋" w:eastAsia="仿宋"/>
                <w:b w:val="0"/>
                <w:sz w:val="16"/>
              </w:rPr>
              <w:t>GB/T 1346—2011《水泥标准稠度用水量、凝结时间、安定性检验方法》</w:t>
            </w:r>
          </w:p>
        </w:tc>
        <w:tc>
          <w:tcPr>
            <w:tcW w:w="2948" w:type="dxa"/>
            <w:vAlign w:val="center"/>
          </w:tcPr>
          <w:p w14:paraId="077841E8">
            <w:pPr>
              <w:spacing w:before="20" w:after="20" w:line="240" w:lineRule="auto"/>
              <w:ind w:firstLine="0"/>
              <w:jc w:val="left"/>
            </w:pPr>
            <w:r>
              <w:rPr>
                <w:rFonts w:ascii="仿宋" w:hAnsi="仿宋" w:eastAsia="仿宋"/>
                <w:b w:val="0"/>
                <w:sz w:val="16"/>
              </w:rPr>
              <w:t>水泥物理性能检测操作</w:t>
            </w:r>
          </w:p>
        </w:tc>
      </w:tr>
      <w:tr w14:paraId="5A32C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BCB2A0F">
            <w:pPr>
              <w:spacing w:before="20" w:after="20" w:line="240" w:lineRule="auto"/>
              <w:ind w:firstLine="0"/>
              <w:jc w:val="center"/>
            </w:pPr>
            <w:r>
              <w:rPr>
                <w:rFonts w:ascii="仿宋" w:hAnsi="仿宋" w:eastAsia="仿宋"/>
                <w:b w:val="0"/>
                <w:sz w:val="16"/>
              </w:rPr>
              <w:t>5</w:t>
            </w:r>
          </w:p>
        </w:tc>
        <w:tc>
          <w:tcPr>
            <w:tcW w:w="1134" w:type="dxa"/>
            <w:vAlign w:val="center"/>
          </w:tcPr>
          <w:p w14:paraId="4FEE1935">
            <w:pPr>
              <w:spacing w:before="20" w:after="20" w:line="240" w:lineRule="auto"/>
              <w:ind w:firstLine="0"/>
              <w:jc w:val="left"/>
            </w:pPr>
            <w:r>
              <w:rPr>
                <w:rFonts w:ascii="仿宋" w:hAnsi="仿宋" w:eastAsia="仿宋"/>
                <w:b w:val="0"/>
                <w:sz w:val="16"/>
              </w:rPr>
              <w:t>方法标准</w:t>
            </w:r>
          </w:p>
        </w:tc>
        <w:tc>
          <w:tcPr>
            <w:tcW w:w="4309" w:type="dxa"/>
            <w:vAlign w:val="center"/>
          </w:tcPr>
          <w:p w14:paraId="316F9967">
            <w:pPr>
              <w:spacing w:before="20" w:after="20" w:line="240" w:lineRule="auto"/>
              <w:ind w:firstLine="0"/>
              <w:jc w:val="left"/>
            </w:pPr>
            <w:r>
              <w:rPr>
                <w:rFonts w:ascii="仿宋" w:hAnsi="仿宋" w:eastAsia="仿宋"/>
                <w:b w:val="0"/>
                <w:sz w:val="16"/>
              </w:rPr>
              <w:t>GB/T 17671—2021《水泥胶砂强度检验方法（ISO法）》</w:t>
            </w:r>
          </w:p>
        </w:tc>
        <w:tc>
          <w:tcPr>
            <w:tcW w:w="2948" w:type="dxa"/>
            <w:vAlign w:val="center"/>
          </w:tcPr>
          <w:p w14:paraId="0F80FBA7">
            <w:pPr>
              <w:spacing w:before="20" w:after="20" w:line="240" w:lineRule="auto"/>
              <w:ind w:firstLine="0"/>
              <w:jc w:val="left"/>
            </w:pPr>
            <w:r>
              <w:rPr>
                <w:rFonts w:ascii="仿宋" w:hAnsi="仿宋" w:eastAsia="仿宋"/>
                <w:b w:val="0"/>
                <w:sz w:val="16"/>
              </w:rPr>
              <w:t>水泥胶砂强度试验</w:t>
            </w:r>
          </w:p>
        </w:tc>
      </w:tr>
      <w:tr w14:paraId="44D49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1AD8868">
            <w:pPr>
              <w:spacing w:before="20" w:after="20" w:line="240" w:lineRule="auto"/>
              <w:ind w:firstLine="0"/>
              <w:jc w:val="center"/>
            </w:pPr>
            <w:r>
              <w:rPr>
                <w:rFonts w:ascii="仿宋" w:hAnsi="仿宋" w:eastAsia="仿宋"/>
                <w:b w:val="0"/>
                <w:sz w:val="16"/>
              </w:rPr>
              <w:t>6</w:t>
            </w:r>
          </w:p>
        </w:tc>
        <w:tc>
          <w:tcPr>
            <w:tcW w:w="1134" w:type="dxa"/>
            <w:vAlign w:val="center"/>
          </w:tcPr>
          <w:p w14:paraId="7B9B842A">
            <w:pPr>
              <w:spacing w:before="20" w:after="20" w:line="240" w:lineRule="auto"/>
              <w:ind w:firstLine="0"/>
              <w:jc w:val="left"/>
            </w:pPr>
            <w:r>
              <w:rPr>
                <w:rFonts w:ascii="仿宋" w:hAnsi="仿宋" w:eastAsia="仿宋"/>
                <w:b w:val="0"/>
                <w:sz w:val="16"/>
              </w:rPr>
              <w:t>方法标准</w:t>
            </w:r>
          </w:p>
        </w:tc>
        <w:tc>
          <w:tcPr>
            <w:tcW w:w="4309" w:type="dxa"/>
            <w:vAlign w:val="center"/>
          </w:tcPr>
          <w:p w14:paraId="3FB6AD9F">
            <w:pPr>
              <w:spacing w:before="20" w:after="20" w:line="240" w:lineRule="auto"/>
              <w:ind w:firstLine="0"/>
              <w:jc w:val="left"/>
            </w:pPr>
            <w:r>
              <w:rPr>
                <w:rFonts w:ascii="仿宋" w:hAnsi="仿宋" w:eastAsia="仿宋"/>
                <w:b w:val="0"/>
                <w:sz w:val="16"/>
              </w:rPr>
              <w:t>GB/T 50081—2019《混凝土物理力学性能试验方法标准》</w:t>
            </w:r>
          </w:p>
        </w:tc>
        <w:tc>
          <w:tcPr>
            <w:tcW w:w="2948" w:type="dxa"/>
            <w:vAlign w:val="center"/>
          </w:tcPr>
          <w:p w14:paraId="6991D7FE">
            <w:pPr>
              <w:spacing w:before="20" w:after="20" w:line="240" w:lineRule="auto"/>
              <w:ind w:firstLine="0"/>
              <w:jc w:val="left"/>
            </w:pPr>
            <w:r>
              <w:rPr>
                <w:rFonts w:ascii="仿宋" w:hAnsi="仿宋" w:eastAsia="仿宋"/>
                <w:b w:val="0"/>
                <w:sz w:val="16"/>
              </w:rPr>
              <w:t>混凝土抗压、抗折试验</w:t>
            </w:r>
          </w:p>
        </w:tc>
      </w:tr>
      <w:tr w14:paraId="4534D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DE529C8">
            <w:pPr>
              <w:spacing w:before="20" w:after="20" w:line="240" w:lineRule="auto"/>
              <w:ind w:firstLine="0"/>
              <w:jc w:val="center"/>
            </w:pPr>
            <w:r>
              <w:rPr>
                <w:rFonts w:ascii="仿宋" w:hAnsi="仿宋" w:eastAsia="仿宋"/>
                <w:b w:val="0"/>
                <w:sz w:val="16"/>
              </w:rPr>
              <w:t>7</w:t>
            </w:r>
          </w:p>
        </w:tc>
        <w:tc>
          <w:tcPr>
            <w:tcW w:w="1134" w:type="dxa"/>
            <w:vAlign w:val="center"/>
          </w:tcPr>
          <w:p w14:paraId="095991A8">
            <w:pPr>
              <w:spacing w:before="20" w:after="20" w:line="240" w:lineRule="auto"/>
              <w:ind w:firstLine="0"/>
              <w:jc w:val="left"/>
            </w:pPr>
            <w:r>
              <w:rPr>
                <w:rFonts w:ascii="仿宋" w:hAnsi="仿宋" w:eastAsia="仿宋"/>
                <w:b w:val="0"/>
                <w:sz w:val="16"/>
              </w:rPr>
              <w:t>方法标准</w:t>
            </w:r>
          </w:p>
        </w:tc>
        <w:tc>
          <w:tcPr>
            <w:tcW w:w="4309" w:type="dxa"/>
            <w:vAlign w:val="center"/>
          </w:tcPr>
          <w:p w14:paraId="505B7B9A">
            <w:pPr>
              <w:spacing w:before="20" w:after="20" w:line="240" w:lineRule="auto"/>
              <w:ind w:firstLine="0"/>
              <w:jc w:val="left"/>
            </w:pPr>
            <w:r>
              <w:rPr>
                <w:rFonts w:ascii="仿宋" w:hAnsi="仿宋" w:eastAsia="仿宋"/>
                <w:b w:val="0"/>
                <w:sz w:val="16"/>
              </w:rPr>
              <w:t>GB/T 228.1—2021《金属材料 拉伸试验 第1部分：室温试验方法》</w:t>
            </w:r>
          </w:p>
        </w:tc>
        <w:tc>
          <w:tcPr>
            <w:tcW w:w="2948" w:type="dxa"/>
            <w:vAlign w:val="center"/>
          </w:tcPr>
          <w:p w14:paraId="74DD5A3A">
            <w:pPr>
              <w:spacing w:before="20" w:after="20" w:line="240" w:lineRule="auto"/>
              <w:ind w:firstLine="0"/>
              <w:jc w:val="left"/>
            </w:pPr>
            <w:r>
              <w:rPr>
                <w:rFonts w:ascii="仿宋" w:hAnsi="仿宋" w:eastAsia="仿宋"/>
                <w:b w:val="0"/>
                <w:sz w:val="16"/>
              </w:rPr>
              <w:t>钢筋拉伸试验</w:t>
            </w:r>
          </w:p>
        </w:tc>
      </w:tr>
      <w:tr w14:paraId="0BB3B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615B3BC">
            <w:pPr>
              <w:spacing w:before="20" w:after="20" w:line="240" w:lineRule="auto"/>
              <w:ind w:firstLine="0"/>
              <w:jc w:val="center"/>
            </w:pPr>
            <w:r>
              <w:rPr>
                <w:rFonts w:ascii="仿宋" w:hAnsi="仿宋" w:eastAsia="仿宋"/>
                <w:b w:val="0"/>
                <w:sz w:val="16"/>
              </w:rPr>
              <w:t>8</w:t>
            </w:r>
          </w:p>
        </w:tc>
        <w:tc>
          <w:tcPr>
            <w:tcW w:w="1134" w:type="dxa"/>
            <w:vAlign w:val="center"/>
          </w:tcPr>
          <w:p w14:paraId="20EEB210">
            <w:pPr>
              <w:spacing w:before="20" w:after="20" w:line="240" w:lineRule="auto"/>
              <w:ind w:firstLine="0"/>
              <w:jc w:val="left"/>
            </w:pPr>
            <w:r>
              <w:rPr>
                <w:rFonts w:ascii="仿宋" w:hAnsi="仿宋" w:eastAsia="仿宋"/>
                <w:b w:val="0"/>
                <w:sz w:val="16"/>
              </w:rPr>
              <w:t>评定标准</w:t>
            </w:r>
          </w:p>
        </w:tc>
        <w:tc>
          <w:tcPr>
            <w:tcW w:w="4309" w:type="dxa"/>
            <w:vAlign w:val="center"/>
          </w:tcPr>
          <w:p w14:paraId="16CB98DA">
            <w:pPr>
              <w:spacing w:before="20" w:after="20" w:line="240" w:lineRule="auto"/>
              <w:ind w:firstLine="0"/>
              <w:jc w:val="left"/>
            </w:pPr>
            <w:r>
              <w:rPr>
                <w:rFonts w:ascii="仿宋" w:hAnsi="仿宋" w:eastAsia="仿宋"/>
                <w:b w:val="0"/>
                <w:sz w:val="16"/>
              </w:rPr>
              <w:t>GB/T 50107—2010《混凝土强度检验评定标准》</w:t>
            </w:r>
          </w:p>
        </w:tc>
        <w:tc>
          <w:tcPr>
            <w:tcW w:w="2948" w:type="dxa"/>
            <w:vAlign w:val="center"/>
          </w:tcPr>
          <w:p w14:paraId="40015439">
            <w:pPr>
              <w:spacing w:before="20" w:after="20" w:line="240" w:lineRule="auto"/>
              <w:ind w:firstLine="0"/>
              <w:jc w:val="left"/>
            </w:pPr>
            <w:r>
              <w:rPr>
                <w:rFonts w:ascii="仿宋" w:hAnsi="仿宋" w:eastAsia="仿宋"/>
                <w:b w:val="0"/>
                <w:sz w:val="16"/>
              </w:rPr>
              <w:t>强度代表值计算与合格判定</w:t>
            </w:r>
          </w:p>
        </w:tc>
      </w:tr>
      <w:tr w14:paraId="178A5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824A36F">
            <w:pPr>
              <w:spacing w:before="20" w:after="20" w:line="240" w:lineRule="auto"/>
              <w:ind w:firstLine="0"/>
              <w:jc w:val="center"/>
            </w:pPr>
            <w:r>
              <w:rPr>
                <w:rFonts w:ascii="仿宋" w:hAnsi="仿宋" w:eastAsia="仿宋"/>
                <w:b w:val="0"/>
                <w:sz w:val="16"/>
              </w:rPr>
              <w:t>9</w:t>
            </w:r>
          </w:p>
        </w:tc>
        <w:tc>
          <w:tcPr>
            <w:tcW w:w="1134" w:type="dxa"/>
            <w:vAlign w:val="center"/>
          </w:tcPr>
          <w:p w14:paraId="227E1C70">
            <w:pPr>
              <w:spacing w:before="20" w:after="20" w:line="240" w:lineRule="auto"/>
              <w:ind w:firstLine="0"/>
              <w:jc w:val="left"/>
            </w:pPr>
            <w:r>
              <w:rPr>
                <w:rFonts w:ascii="仿宋" w:hAnsi="仿宋" w:eastAsia="仿宋"/>
                <w:b w:val="0"/>
                <w:sz w:val="16"/>
              </w:rPr>
              <w:t>验收标准</w:t>
            </w:r>
          </w:p>
        </w:tc>
        <w:tc>
          <w:tcPr>
            <w:tcW w:w="4309" w:type="dxa"/>
            <w:vAlign w:val="center"/>
          </w:tcPr>
          <w:p w14:paraId="6D8246EE">
            <w:pPr>
              <w:spacing w:before="20" w:after="20" w:line="240" w:lineRule="auto"/>
              <w:ind w:firstLine="0"/>
              <w:jc w:val="left"/>
            </w:pPr>
            <w:r>
              <w:rPr>
                <w:rFonts w:ascii="仿宋" w:hAnsi="仿宋" w:eastAsia="仿宋"/>
                <w:b w:val="0"/>
                <w:sz w:val="16"/>
              </w:rPr>
              <w:t>GB 50204—2015《混凝土结构工程施工质量验收规范》</w:t>
            </w:r>
          </w:p>
        </w:tc>
        <w:tc>
          <w:tcPr>
            <w:tcW w:w="2948" w:type="dxa"/>
            <w:vAlign w:val="center"/>
          </w:tcPr>
          <w:p w14:paraId="5C223761">
            <w:pPr>
              <w:spacing w:before="20" w:after="20" w:line="240" w:lineRule="auto"/>
              <w:ind w:firstLine="0"/>
              <w:jc w:val="left"/>
            </w:pPr>
            <w:r>
              <w:rPr>
                <w:rFonts w:ascii="仿宋" w:hAnsi="仿宋" w:eastAsia="仿宋"/>
                <w:b w:val="0"/>
                <w:sz w:val="16"/>
              </w:rPr>
              <w:t>结构实体检验与验收</w:t>
            </w:r>
          </w:p>
        </w:tc>
      </w:tr>
      <w:tr w14:paraId="38F3C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478FBE7">
            <w:pPr>
              <w:spacing w:before="20" w:after="20" w:line="240" w:lineRule="auto"/>
              <w:ind w:firstLine="0"/>
              <w:jc w:val="center"/>
            </w:pPr>
            <w:r>
              <w:rPr>
                <w:rFonts w:ascii="仿宋" w:hAnsi="仿宋" w:eastAsia="仿宋"/>
                <w:b w:val="0"/>
                <w:sz w:val="16"/>
              </w:rPr>
              <w:t>10</w:t>
            </w:r>
          </w:p>
        </w:tc>
        <w:tc>
          <w:tcPr>
            <w:tcW w:w="1134" w:type="dxa"/>
            <w:vAlign w:val="center"/>
          </w:tcPr>
          <w:p w14:paraId="49BDA4FA">
            <w:pPr>
              <w:spacing w:before="20" w:after="20" w:line="240" w:lineRule="auto"/>
              <w:ind w:firstLine="0"/>
              <w:jc w:val="left"/>
            </w:pPr>
            <w:r>
              <w:rPr>
                <w:rFonts w:ascii="仿宋" w:hAnsi="仿宋" w:eastAsia="仿宋"/>
                <w:b w:val="0"/>
                <w:sz w:val="16"/>
              </w:rPr>
              <w:t>现场检测</w:t>
            </w:r>
          </w:p>
        </w:tc>
        <w:tc>
          <w:tcPr>
            <w:tcW w:w="4309" w:type="dxa"/>
            <w:vAlign w:val="center"/>
          </w:tcPr>
          <w:p w14:paraId="03803458">
            <w:pPr>
              <w:spacing w:before="20" w:after="20" w:line="240" w:lineRule="auto"/>
              <w:ind w:firstLine="0"/>
              <w:jc w:val="left"/>
            </w:pPr>
            <w:r>
              <w:rPr>
                <w:rFonts w:ascii="仿宋" w:hAnsi="仿宋" w:eastAsia="仿宋"/>
                <w:b w:val="0"/>
                <w:sz w:val="16"/>
              </w:rPr>
              <w:t>JGJ/T 23—2011《回弹法检测混凝土抗压强度技术规程》</w:t>
            </w:r>
          </w:p>
        </w:tc>
        <w:tc>
          <w:tcPr>
            <w:tcW w:w="2948" w:type="dxa"/>
            <w:vAlign w:val="center"/>
          </w:tcPr>
          <w:p w14:paraId="2699309F">
            <w:pPr>
              <w:spacing w:before="20" w:after="20" w:line="240" w:lineRule="auto"/>
              <w:ind w:firstLine="0"/>
              <w:jc w:val="left"/>
            </w:pPr>
            <w:r>
              <w:rPr>
                <w:rFonts w:ascii="仿宋" w:hAnsi="仿宋" w:eastAsia="仿宋"/>
                <w:b w:val="0"/>
                <w:sz w:val="16"/>
              </w:rPr>
              <w:t>结构实体检测与基桩检测</w:t>
            </w:r>
          </w:p>
        </w:tc>
      </w:tr>
      <w:tr w14:paraId="1BA0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DB96B3F">
            <w:pPr>
              <w:spacing w:before="20" w:after="20" w:line="240" w:lineRule="auto"/>
              <w:ind w:firstLine="0"/>
              <w:jc w:val="center"/>
            </w:pPr>
            <w:r>
              <w:rPr>
                <w:rFonts w:ascii="仿宋" w:hAnsi="仿宋" w:eastAsia="仿宋"/>
                <w:b w:val="0"/>
                <w:sz w:val="16"/>
              </w:rPr>
              <w:t>11</w:t>
            </w:r>
          </w:p>
        </w:tc>
        <w:tc>
          <w:tcPr>
            <w:tcW w:w="1134" w:type="dxa"/>
            <w:vAlign w:val="center"/>
          </w:tcPr>
          <w:p w14:paraId="111A83C3">
            <w:pPr>
              <w:spacing w:before="20" w:after="20" w:line="240" w:lineRule="auto"/>
              <w:ind w:firstLine="0"/>
              <w:jc w:val="left"/>
            </w:pPr>
            <w:r>
              <w:rPr>
                <w:rFonts w:ascii="仿宋" w:hAnsi="仿宋" w:eastAsia="仿宋"/>
                <w:b w:val="0"/>
                <w:sz w:val="16"/>
              </w:rPr>
              <w:t>环境与节能</w:t>
            </w:r>
          </w:p>
        </w:tc>
        <w:tc>
          <w:tcPr>
            <w:tcW w:w="4309" w:type="dxa"/>
            <w:vAlign w:val="center"/>
          </w:tcPr>
          <w:p w14:paraId="00AEF59F">
            <w:pPr>
              <w:spacing w:before="20" w:after="20" w:line="240" w:lineRule="auto"/>
              <w:ind w:firstLine="0"/>
              <w:jc w:val="left"/>
            </w:pPr>
            <w:r>
              <w:rPr>
                <w:rFonts w:ascii="仿宋" w:hAnsi="仿宋" w:eastAsia="仿宋"/>
                <w:b w:val="0"/>
                <w:sz w:val="16"/>
              </w:rPr>
              <w:t>GB 50325—2020《民用建筑工程室内环境污染控制标准》</w:t>
            </w:r>
          </w:p>
        </w:tc>
        <w:tc>
          <w:tcPr>
            <w:tcW w:w="2948" w:type="dxa"/>
            <w:vAlign w:val="center"/>
          </w:tcPr>
          <w:p w14:paraId="539B0598">
            <w:pPr>
              <w:spacing w:before="20" w:after="20" w:line="240" w:lineRule="auto"/>
              <w:ind w:firstLine="0"/>
              <w:jc w:val="left"/>
            </w:pPr>
            <w:r>
              <w:rPr>
                <w:rFonts w:ascii="仿宋" w:hAnsi="仿宋" w:eastAsia="仿宋"/>
                <w:b w:val="0"/>
                <w:sz w:val="16"/>
              </w:rPr>
              <w:t>室内环境检测与节能检测</w:t>
            </w:r>
          </w:p>
        </w:tc>
      </w:tr>
      <w:tr w14:paraId="11517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7FD12E9">
            <w:pPr>
              <w:spacing w:before="20" w:after="20" w:line="240" w:lineRule="auto"/>
              <w:ind w:firstLine="0"/>
              <w:jc w:val="center"/>
            </w:pPr>
            <w:r>
              <w:rPr>
                <w:rFonts w:ascii="仿宋" w:hAnsi="仿宋" w:eastAsia="仿宋"/>
                <w:b w:val="0"/>
                <w:sz w:val="16"/>
              </w:rPr>
              <w:t>12</w:t>
            </w:r>
          </w:p>
        </w:tc>
        <w:tc>
          <w:tcPr>
            <w:tcW w:w="1134" w:type="dxa"/>
            <w:vAlign w:val="center"/>
          </w:tcPr>
          <w:p w14:paraId="0B3B1C3A">
            <w:pPr>
              <w:spacing w:before="20" w:after="20" w:line="240" w:lineRule="auto"/>
              <w:ind w:firstLine="0"/>
              <w:jc w:val="left"/>
            </w:pPr>
            <w:r>
              <w:rPr>
                <w:rFonts w:ascii="仿宋" w:hAnsi="仿宋" w:eastAsia="仿宋"/>
                <w:b w:val="0"/>
                <w:sz w:val="16"/>
              </w:rPr>
              <w:t>管理体系</w:t>
            </w:r>
          </w:p>
        </w:tc>
        <w:tc>
          <w:tcPr>
            <w:tcW w:w="4309" w:type="dxa"/>
            <w:vAlign w:val="center"/>
          </w:tcPr>
          <w:p w14:paraId="6F108AFE">
            <w:pPr>
              <w:spacing w:before="20" w:after="20" w:line="240" w:lineRule="auto"/>
              <w:ind w:firstLine="0"/>
              <w:jc w:val="left"/>
            </w:pPr>
            <w:r>
              <w:rPr>
                <w:rFonts w:ascii="仿宋" w:hAnsi="仿宋" w:eastAsia="仿宋"/>
                <w:b w:val="0"/>
                <w:sz w:val="16"/>
              </w:rPr>
              <w:t>GB/T 27025—2019《检测和校准实验室能力的通用要求》</w:t>
            </w:r>
          </w:p>
        </w:tc>
        <w:tc>
          <w:tcPr>
            <w:tcW w:w="2948" w:type="dxa"/>
            <w:vAlign w:val="center"/>
          </w:tcPr>
          <w:p w14:paraId="58846BB3">
            <w:pPr>
              <w:spacing w:before="20" w:after="20" w:line="240" w:lineRule="auto"/>
              <w:ind w:firstLine="0"/>
              <w:jc w:val="left"/>
            </w:pPr>
            <w:r>
              <w:rPr>
                <w:rFonts w:ascii="仿宋" w:hAnsi="仿宋" w:eastAsia="仿宋"/>
                <w:b w:val="0"/>
                <w:sz w:val="16"/>
              </w:rPr>
              <w:t>收样、流转、报告、归档规范</w:t>
            </w:r>
          </w:p>
        </w:tc>
      </w:tr>
    </w:tbl>
    <w:p w14:paraId="1BBAA9B2">
      <w:pPr>
        <w:spacing w:before="0" w:after="40" w:line="240" w:lineRule="auto"/>
        <w:ind w:firstLine="0"/>
      </w:pPr>
    </w:p>
    <w:p w14:paraId="37CAFBC3">
      <w:pPr>
        <w:spacing w:before="120" w:after="40" w:line="336" w:lineRule="auto"/>
        <w:ind w:firstLine="0"/>
      </w:pPr>
      <w:r>
        <w:rPr>
          <w:rFonts w:ascii="黑体" w:hAnsi="黑体" w:eastAsia="黑体"/>
          <w:b/>
          <w:sz w:val="24"/>
        </w:rPr>
        <w:t>2.企业生产流程</w:t>
      </w:r>
    </w:p>
    <w:p w14:paraId="4182A796">
      <w:pPr>
        <w:spacing w:before="0" w:after="0" w:line="384" w:lineRule="auto"/>
        <w:ind w:firstLine="420"/>
      </w:pPr>
      <w:r>
        <w:rPr>
          <w:rFonts w:ascii="仿宋" w:hAnsi="仿宋" w:eastAsia="仿宋"/>
          <w:b w:val="0"/>
          <w:sz w:val="24"/>
        </w:rPr>
        <w:t>区域检测机构执行的检测流程基本一致，为“委托受理—见证取样—样品流转—样品制备与养护—检测实施—数据处理—报告编制与审核—签发与归档”8个环节。每个环节都有明确的输入、输出与责任人：委托受理核对委托信息、确定检测项目与依据标准；见证取样编制取样方案、填写见证记录；样品制备与养护控制缩分、制样、编号与养护条件；检测实施做设备核查、参数设置、试验操作与原始记录；数据处理做修约、异常值判断与结果评定；报告与归档完成编制、审核、授权签发与档案管理。学生若只在校内做试验，缺失的正是受理、流转、报告与归档等环节，这也是企业反映毕业生“上手慢”的主要原因。</w:t>
      </w:r>
    </w:p>
    <w:p w14:paraId="5B40C993">
      <w:pPr>
        <w:spacing w:before="120" w:after="40" w:line="336" w:lineRule="auto"/>
        <w:ind w:firstLine="0"/>
      </w:pPr>
      <w:r>
        <w:rPr>
          <w:rFonts w:ascii="黑体" w:hAnsi="黑体" w:eastAsia="黑体"/>
          <w:b/>
          <w:sz w:val="24"/>
        </w:rPr>
        <w:t>3.典型岗位工作任务</w:t>
      </w:r>
    </w:p>
    <w:p w14:paraId="408C955B">
      <w:pPr>
        <w:spacing w:before="0" w:after="0" w:line="384" w:lineRule="auto"/>
        <w:ind w:firstLine="420"/>
      </w:pPr>
      <w:r>
        <w:rPr>
          <w:rFonts w:ascii="仿宋" w:hAnsi="仿宋" w:eastAsia="仿宋"/>
          <w:b w:val="0"/>
          <w:sz w:val="24"/>
        </w:rPr>
        <w:t>按岗位类别归并，梳理出检测岗位典型工作任务36项，按能力递进归纳为收样与委托、取样与制样、物理性能检测、力学性能检测、耐久性能检测、数据处理与报告六类，每类6项，逐项对应支撑课程，构成本专业课程内容的基本来源（见表3）。</w:t>
      </w:r>
    </w:p>
    <w:p w14:paraId="3081EB28">
      <w:pPr>
        <w:spacing w:before="120" w:after="40" w:line="288" w:lineRule="auto"/>
        <w:ind w:firstLine="0"/>
        <w:jc w:val="center"/>
      </w:pPr>
      <w:r>
        <w:rPr>
          <w:rFonts w:ascii="仿宋" w:hAnsi="仿宋" w:eastAsia="仿宋"/>
          <w:b/>
          <w:sz w:val="21"/>
        </w:rPr>
        <w:t>表3　检测岗位典型工作任务清单（36项）</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474"/>
        <w:gridCol w:w="4876"/>
        <w:gridCol w:w="2041"/>
      </w:tblGrid>
      <w:tr w14:paraId="67C6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67" w:type="dxa"/>
            <w:vAlign w:val="center"/>
          </w:tcPr>
          <w:p w14:paraId="195A99FA">
            <w:pPr>
              <w:spacing w:before="20" w:after="20" w:line="240" w:lineRule="auto"/>
              <w:ind w:firstLine="0"/>
              <w:jc w:val="center"/>
            </w:pPr>
            <w:r>
              <w:rPr>
                <w:rFonts w:ascii="仿宋" w:hAnsi="仿宋" w:eastAsia="仿宋"/>
                <w:b/>
                <w:sz w:val="16"/>
              </w:rPr>
              <w:t>序号</w:t>
            </w:r>
          </w:p>
        </w:tc>
        <w:tc>
          <w:tcPr>
            <w:tcW w:w="1474" w:type="dxa"/>
            <w:vAlign w:val="center"/>
          </w:tcPr>
          <w:p w14:paraId="14136092">
            <w:pPr>
              <w:spacing w:before="20" w:after="20" w:line="240" w:lineRule="auto"/>
              <w:ind w:firstLine="0"/>
              <w:jc w:val="center"/>
            </w:pPr>
            <w:r>
              <w:rPr>
                <w:rFonts w:ascii="仿宋" w:hAnsi="仿宋" w:eastAsia="仿宋"/>
                <w:b/>
                <w:sz w:val="16"/>
              </w:rPr>
              <w:t>任务类别</w:t>
            </w:r>
          </w:p>
        </w:tc>
        <w:tc>
          <w:tcPr>
            <w:tcW w:w="4876" w:type="dxa"/>
            <w:vAlign w:val="center"/>
          </w:tcPr>
          <w:p w14:paraId="06615064">
            <w:pPr>
              <w:spacing w:before="20" w:after="20" w:line="240" w:lineRule="auto"/>
              <w:ind w:firstLine="0"/>
              <w:jc w:val="center"/>
            </w:pPr>
            <w:r>
              <w:rPr>
                <w:rFonts w:ascii="仿宋" w:hAnsi="仿宋" w:eastAsia="仿宋"/>
                <w:b/>
                <w:sz w:val="16"/>
              </w:rPr>
              <w:t>典型工作任务</w:t>
            </w:r>
          </w:p>
        </w:tc>
        <w:tc>
          <w:tcPr>
            <w:tcW w:w="2041" w:type="dxa"/>
            <w:vAlign w:val="center"/>
          </w:tcPr>
          <w:p w14:paraId="0B61F88B">
            <w:pPr>
              <w:spacing w:before="20" w:after="20" w:line="240" w:lineRule="auto"/>
              <w:ind w:firstLine="0"/>
              <w:jc w:val="center"/>
            </w:pPr>
            <w:r>
              <w:rPr>
                <w:rFonts w:ascii="仿宋" w:hAnsi="仿宋" w:eastAsia="仿宋"/>
                <w:b/>
                <w:sz w:val="16"/>
              </w:rPr>
              <w:t>支撑课程</w:t>
            </w:r>
          </w:p>
        </w:tc>
      </w:tr>
      <w:tr w14:paraId="5297D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008693C">
            <w:pPr>
              <w:spacing w:before="20" w:after="20" w:line="240" w:lineRule="auto"/>
              <w:ind w:firstLine="0"/>
              <w:jc w:val="center"/>
            </w:pPr>
            <w:r>
              <w:rPr>
                <w:rFonts w:ascii="仿宋" w:hAnsi="仿宋" w:eastAsia="仿宋"/>
                <w:b w:val="0"/>
                <w:sz w:val="16"/>
              </w:rPr>
              <w:t>1</w:t>
            </w:r>
          </w:p>
        </w:tc>
        <w:tc>
          <w:tcPr>
            <w:tcW w:w="1474" w:type="dxa"/>
            <w:vAlign w:val="center"/>
          </w:tcPr>
          <w:p w14:paraId="4528C77D">
            <w:pPr>
              <w:spacing w:before="20" w:after="20" w:line="240" w:lineRule="auto"/>
              <w:ind w:firstLine="0"/>
              <w:jc w:val="left"/>
            </w:pPr>
            <w:r>
              <w:rPr>
                <w:rFonts w:ascii="仿宋" w:hAnsi="仿宋" w:eastAsia="仿宋"/>
                <w:b w:val="0"/>
                <w:sz w:val="16"/>
              </w:rPr>
              <w:t>收样与委托</w:t>
            </w:r>
          </w:p>
        </w:tc>
        <w:tc>
          <w:tcPr>
            <w:tcW w:w="4876" w:type="dxa"/>
            <w:vAlign w:val="center"/>
          </w:tcPr>
          <w:p w14:paraId="6852B3C6">
            <w:pPr>
              <w:spacing w:before="20" w:after="20" w:line="240" w:lineRule="auto"/>
              <w:ind w:firstLine="0"/>
              <w:jc w:val="left"/>
            </w:pPr>
            <w:r>
              <w:rPr>
                <w:rFonts w:ascii="仿宋" w:hAnsi="仿宋" w:eastAsia="仿宋"/>
                <w:b w:val="0"/>
                <w:sz w:val="16"/>
              </w:rPr>
              <w:t>委托信息核对、检测项目确定、依据标准选用、委托单填写、样品编号、任务分派</w:t>
            </w:r>
          </w:p>
        </w:tc>
        <w:tc>
          <w:tcPr>
            <w:tcW w:w="2041" w:type="dxa"/>
            <w:vAlign w:val="center"/>
          </w:tcPr>
          <w:p w14:paraId="2BC3E8D7">
            <w:pPr>
              <w:spacing w:before="20" w:after="20" w:line="240" w:lineRule="auto"/>
              <w:ind w:firstLine="0"/>
              <w:jc w:val="left"/>
            </w:pPr>
            <w:r>
              <w:rPr>
                <w:rFonts w:ascii="仿宋" w:hAnsi="仿宋" w:eastAsia="仿宋"/>
                <w:b w:val="0"/>
                <w:sz w:val="16"/>
              </w:rPr>
              <w:t>工程材料与检测、实验室认可与管理</w:t>
            </w:r>
          </w:p>
        </w:tc>
      </w:tr>
      <w:tr w14:paraId="10E1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239E30C">
            <w:pPr>
              <w:spacing w:before="20" w:after="20" w:line="240" w:lineRule="auto"/>
              <w:ind w:firstLine="0"/>
              <w:jc w:val="center"/>
            </w:pPr>
            <w:r>
              <w:rPr>
                <w:rFonts w:ascii="仿宋" w:hAnsi="仿宋" w:eastAsia="仿宋"/>
                <w:b w:val="0"/>
                <w:sz w:val="16"/>
              </w:rPr>
              <w:t>2</w:t>
            </w:r>
          </w:p>
        </w:tc>
        <w:tc>
          <w:tcPr>
            <w:tcW w:w="1474" w:type="dxa"/>
            <w:vAlign w:val="center"/>
          </w:tcPr>
          <w:p w14:paraId="31E1E803">
            <w:pPr>
              <w:spacing w:before="20" w:after="20" w:line="240" w:lineRule="auto"/>
              <w:ind w:firstLine="0"/>
              <w:jc w:val="left"/>
            </w:pPr>
            <w:r>
              <w:rPr>
                <w:rFonts w:ascii="仿宋" w:hAnsi="仿宋" w:eastAsia="仿宋"/>
                <w:b w:val="0"/>
                <w:sz w:val="16"/>
              </w:rPr>
              <w:t>取样与制样</w:t>
            </w:r>
          </w:p>
        </w:tc>
        <w:tc>
          <w:tcPr>
            <w:tcW w:w="4876" w:type="dxa"/>
            <w:vAlign w:val="center"/>
          </w:tcPr>
          <w:p w14:paraId="796F8EBF">
            <w:pPr>
              <w:spacing w:before="20" w:after="20" w:line="240" w:lineRule="auto"/>
              <w:ind w:firstLine="0"/>
              <w:jc w:val="left"/>
            </w:pPr>
            <w:r>
              <w:rPr>
                <w:rFonts w:ascii="仿宋" w:hAnsi="仿宋" w:eastAsia="仿宋"/>
                <w:b w:val="0"/>
                <w:sz w:val="16"/>
              </w:rPr>
              <w:t>抽样方案编制、现场取样、见证记录填写、样品标识、缩分制样、样品交接</w:t>
            </w:r>
          </w:p>
        </w:tc>
        <w:tc>
          <w:tcPr>
            <w:tcW w:w="2041" w:type="dxa"/>
            <w:vAlign w:val="center"/>
          </w:tcPr>
          <w:p w14:paraId="191475D7">
            <w:pPr>
              <w:spacing w:before="20" w:after="20" w:line="240" w:lineRule="auto"/>
              <w:ind w:firstLine="0"/>
              <w:jc w:val="left"/>
            </w:pPr>
            <w:r>
              <w:rPr>
                <w:rFonts w:ascii="仿宋" w:hAnsi="仿宋" w:eastAsia="仿宋"/>
                <w:b w:val="0"/>
                <w:sz w:val="16"/>
              </w:rPr>
              <w:t>工程材料与检测</w:t>
            </w:r>
          </w:p>
        </w:tc>
      </w:tr>
      <w:tr w14:paraId="59E93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BFE9159">
            <w:pPr>
              <w:spacing w:before="20" w:after="20" w:line="240" w:lineRule="auto"/>
              <w:ind w:firstLine="0"/>
              <w:jc w:val="center"/>
            </w:pPr>
            <w:r>
              <w:rPr>
                <w:rFonts w:ascii="仿宋" w:hAnsi="仿宋" w:eastAsia="仿宋"/>
                <w:b w:val="0"/>
                <w:sz w:val="16"/>
              </w:rPr>
              <w:t>3</w:t>
            </w:r>
          </w:p>
        </w:tc>
        <w:tc>
          <w:tcPr>
            <w:tcW w:w="1474" w:type="dxa"/>
            <w:vAlign w:val="center"/>
          </w:tcPr>
          <w:p w14:paraId="120A45ED">
            <w:pPr>
              <w:spacing w:before="20" w:after="20" w:line="240" w:lineRule="auto"/>
              <w:ind w:firstLine="0"/>
              <w:jc w:val="left"/>
            </w:pPr>
            <w:r>
              <w:rPr>
                <w:rFonts w:ascii="仿宋" w:hAnsi="仿宋" w:eastAsia="仿宋"/>
                <w:b w:val="0"/>
                <w:sz w:val="16"/>
              </w:rPr>
              <w:t>物理性能检测</w:t>
            </w:r>
          </w:p>
        </w:tc>
        <w:tc>
          <w:tcPr>
            <w:tcW w:w="4876" w:type="dxa"/>
            <w:vAlign w:val="center"/>
          </w:tcPr>
          <w:p w14:paraId="5553D954">
            <w:pPr>
              <w:spacing w:before="20" w:after="20" w:line="240" w:lineRule="auto"/>
              <w:ind w:firstLine="0"/>
              <w:jc w:val="left"/>
            </w:pPr>
            <w:r>
              <w:rPr>
                <w:rFonts w:ascii="仿宋" w:hAnsi="仿宋" w:eastAsia="仿宋"/>
                <w:b w:val="0"/>
                <w:sz w:val="16"/>
              </w:rPr>
              <w:t>水泥细度、标准稠度与凝结时间、安定性、骨料级配与含泥量、砂浆稠度、钢筋重量偏差</w:t>
            </w:r>
          </w:p>
        </w:tc>
        <w:tc>
          <w:tcPr>
            <w:tcW w:w="2041" w:type="dxa"/>
            <w:vAlign w:val="center"/>
          </w:tcPr>
          <w:p w14:paraId="34678883">
            <w:pPr>
              <w:spacing w:before="20" w:after="20" w:line="240" w:lineRule="auto"/>
              <w:ind w:firstLine="0"/>
              <w:jc w:val="left"/>
            </w:pPr>
            <w:r>
              <w:rPr>
                <w:rFonts w:ascii="仿宋" w:hAnsi="仿宋" w:eastAsia="仿宋"/>
                <w:b w:val="0"/>
                <w:sz w:val="16"/>
              </w:rPr>
              <w:t>工程材料与检测</w:t>
            </w:r>
          </w:p>
        </w:tc>
      </w:tr>
      <w:tr w14:paraId="71DF1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3255697">
            <w:pPr>
              <w:spacing w:before="20" w:after="20" w:line="240" w:lineRule="auto"/>
              <w:ind w:firstLine="0"/>
              <w:jc w:val="center"/>
            </w:pPr>
            <w:r>
              <w:rPr>
                <w:rFonts w:ascii="仿宋" w:hAnsi="仿宋" w:eastAsia="仿宋"/>
                <w:b w:val="0"/>
                <w:sz w:val="16"/>
              </w:rPr>
              <w:t>4</w:t>
            </w:r>
          </w:p>
        </w:tc>
        <w:tc>
          <w:tcPr>
            <w:tcW w:w="1474" w:type="dxa"/>
            <w:vAlign w:val="center"/>
          </w:tcPr>
          <w:p w14:paraId="6F84CA5E">
            <w:pPr>
              <w:spacing w:before="20" w:after="20" w:line="240" w:lineRule="auto"/>
              <w:ind w:firstLine="0"/>
              <w:jc w:val="left"/>
            </w:pPr>
            <w:r>
              <w:rPr>
                <w:rFonts w:ascii="仿宋" w:hAnsi="仿宋" w:eastAsia="仿宋"/>
                <w:b w:val="0"/>
                <w:sz w:val="16"/>
              </w:rPr>
              <w:t>力学性能检测</w:t>
            </w:r>
          </w:p>
        </w:tc>
        <w:tc>
          <w:tcPr>
            <w:tcW w:w="4876" w:type="dxa"/>
            <w:vAlign w:val="center"/>
          </w:tcPr>
          <w:p w14:paraId="2B65A4A1">
            <w:pPr>
              <w:spacing w:before="20" w:after="20" w:line="240" w:lineRule="auto"/>
              <w:ind w:firstLine="0"/>
              <w:jc w:val="left"/>
            </w:pPr>
            <w:r>
              <w:rPr>
                <w:rFonts w:ascii="仿宋" w:hAnsi="仿宋" w:eastAsia="仿宋"/>
                <w:b w:val="0"/>
                <w:sz w:val="16"/>
              </w:rPr>
              <w:t>水泥胶砂强度、混凝土立方体抗压强度、混凝土抗折强度、钢筋拉伸与弯曲、砂浆抗压、砌体强度</w:t>
            </w:r>
          </w:p>
        </w:tc>
        <w:tc>
          <w:tcPr>
            <w:tcW w:w="2041" w:type="dxa"/>
            <w:vAlign w:val="center"/>
          </w:tcPr>
          <w:p w14:paraId="7ABB8982">
            <w:pPr>
              <w:spacing w:before="20" w:after="20" w:line="240" w:lineRule="auto"/>
              <w:ind w:firstLine="0"/>
              <w:jc w:val="left"/>
            </w:pPr>
            <w:r>
              <w:rPr>
                <w:rFonts w:ascii="仿宋" w:hAnsi="仿宋" w:eastAsia="仿宋"/>
                <w:b w:val="0"/>
                <w:sz w:val="16"/>
              </w:rPr>
              <w:t>工程材料与检测、建筑力学与结构</w:t>
            </w:r>
          </w:p>
        </w:tc>
      </w:tr>
      <w:tr w14:paraId="6697B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A37F68B">
            <w:pPr>
              <w:spacing w:before="20" w:after="20" w:line="240" w:lineRule="auto"/>
              <w:ind w:firstLine="0"/>
              <w:jc w:val="center"/>
            </w:pPr>
            <w:r>
              <w:rPr>
                <w:rFonts w:ascii="仿宋" w:hAnsi="仿宋" w:eastAsia="仿宋"/>
                <w:b w:val="0"/>
                <w:sz w:val="16"/>
              </w:rPr>
              <w:t>5</w:t>
            </w:r>
          </w:p>
        </w:tc>
        <w:tc>
          <w:tcPr>
            <w:tcW w:w="1474" w:type="dxa"/>
            <w:vAlign w:val="center"/>
          </w:tcPr>
          <w:p w14:paraId="2B7ACBB3">
            <w:pPr>
              <w:spacing w:before="20" w:after="20" w:line="240" w:lineRule="auto"/>
              <w:ind w:firstLine="0"/>
              <w:jc w:val="left"/>
            </w:pPr>
            <w:r>
              <w:rPr>
                <w:rFonts w:ascii="仿宋" w:hAnsi="仿宋" w:eastAsia="仿宋"/>
                <w:b w:val="0"/>
                <w:sz w:val="16"/>
              </w:rPr>
              <w:t>耐久性能检测</w:t>
            </w:r>
          </w:p>
        </w:tc>
        <w:tc>
          <w:tcPr>
            <w:tcW w:w="4876" w:type="dxa"/>
            <w:vAlign w:val="center"/>
          </w:tcPr>
          <w:p w14:paraId="01245894">
            <w:pPr>
              <w:spacing w:before="20" w:after="20" w:line="240" w:lineRule="auto"/>
              <w:ind w:firstLine="0"/>
              <w:jc w:val="left"/>
            </w:pPr>
            <w:r>
              <w:rPr>
                <w:rFonts w:ascii="仿宋" w:hAnsi="仿宋" w:eastAsia="仿宋"/>
                <w:b w:val="0"/>
                <w:sz w:val="16"/>
              </w:rPr>
              <w:t>抗渗、抗冻、氯离子含量、碳化深度、收缩、钢筋锈蚀</w:t>
            </w:r>
          </w:p>
        </w:tc>
        <w:tc>
          <w:tcPr>
            <w:tcW w:w="2041" w:type="dxa"/>
            <w:vAlign w:val="center"/>
          </w:tcPr>
          <w:p w14:paraId="60817EDD">
            <w:pPr>
              <w:spacing w:before="20" w:after="20" w:line="240" w:lineRule="auto"/>
              <w:ind w:firstLine="0"/>
              <w:jc w:val="left"/>
            </w:pPr>
            <w:r>
              <w:rPr>
                <w:rFonts w:ascii="仿宋" w:hAnsi="仿宋" w:eastAsia="仿宋"/>
                <w:b w:val="0"/>
                <w:sz w:val="16"/>
              </w:rPr>
              <w:t>工程材料与检测</w:t>
            </w:r>
          </w:p>
        </w:tc>
      </w:tr>
      <w:tr w14:paraId="207DF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237421B">
            <w:pPr>
              <w:spacing w:before="20" w:after="20" w:line="240" w:lineRule="auto"/>
              <w:ind w:firstLine="0"/>
              <w:jc w:val="center"/>
            </w:pPr>
            <w:r>
              <w:rPr>
                <w:rFonts w:ascii="仿宋" w:hAnsi="仿宋" w:eastAsia="仿宋"/>
                <w:b w:val="0"/>
                <w:sz w:val="16"/>
              </w:rPr>
              <w:t>6</w:t>
            </w:r>
          </w:p>
        </w:tc>
        <w:tc>
          <w:tcPr>
            <w:tcW w:w="1474" w:type="dxa"/>
            <w:vAlign w:val="center"/>
          </w:tcPr>
          <w:p w14:paraId="2D44E20A">
            <w:pPr>
              <w:spacing w:before="20" w:after="20" w:line="240" w:lineRule="auto"/>
              <w:ind w:firstLine="0"/>
              <w:jc w:val="left"/>
            </w:pPr>
            <w:r>
              <w:rPr>
                <w:rFonts w:ascii="仿宋" w:hAnsi="仿宋" w:eastAsia="仿宋"/>
                <w:b w:val="0"/>
                <w:sz w:val="16"/>
              </w:rPr>
              <w:t>数据处理与报告</w:t>
            </w:r>
          </w:p>
        </w:tc>
        <w:tc>
          <w:tcPr>
            <w:tcW w:w="4876" w:type="dxa"/>
            <w:vAlign w:val="center"/>
          </w:tcPr>
          <w:p w14:paraId="7A9073E5">
            <w:pPr>
              <w:spacing w:before="20" w:after="20" w:line="240" w:lineRule="auto"/>
              <w:ind w:firstLine="0"/>
              <w:jc w:val="left"/>
            </w:pPr>
            <w:r>
              <w:rPr>
                <w:rFonts w:ascii="仿宋" w:hAnsi="仿宋" w:eastAsia="仿宋"/>
                <w:b w:val="0"/>
                <w:sz w:val="16"/>
              </w:rPr>
              <w:t>原始记录填写、数据修约、异常值判断、结果评定、报告编制、审核与归档</w:t>
            </w:r>
          </w:p>
        </w:tc>
        <w:tc>
          <w:tcPr>
            <w:tcW w:w="2041" w:type="dxa"/>
            <w:vAlign w:val="center"/>
          </w:tcPr>
          <w:p w14:paraId="3EC98651">
            <w:pPr>
              <w:spacing w:before="20" w:after="20" w:line="240" w:lineRule="auto"/>
              <w:ind w:firstLine="0"/>
              <w:jc w:val="left"/>
            </w:pPr>
            <w:r>
              <w:rPr>
                <w:rFonts w:ascii="仿宋" w:hAnsi="仿宋" w:eastAsia="仿宋"/>
                <w:b w:val="0"/>
                <w:sz w:val="16"/>
              </w:rPr>
              <w:t>误差分析与数据处理、实验室认可与管理</w:t>
            </w:r>
          </w:p>
        </w:tc>
      </w:tr>
    </w:tbl>
    <w:p w14:paraId="308E982C">
      <w:pPr>
        <w:spacing w:before="0" w:after="40" w:line="240" w:lineRule="auto"/>
        <w:ind w:firstLine="0"/>
      </w:pPr>
    </w:p>
    <w:p w14:paraId="16E0D01D">
      <w:pPr>
        <w:spacing w:before="200" w:after="80" w:line="336" w:lineRule="auto"/>
        <w:ind w:firstLine="0"/>
      </w:pPr>
      <w:r>
        <w:rPr>
          <w:rFonts w:ascii="黑体" w:hAnsi="黑体" w:eastAsia="黑体"/>
          <w:b/>
          <w:sz w:val="28"/>
        </w:rPr>
        <w:t>五、现行人才培养与岗位需求的差距</w:t>
      </w:r>
    </w:p>
    <w:p w14:paraId="44EAF718">
      <w:pPr>
        <w:spacing w:before="0" w:after="0" w:line="384" w:lineRule="auto"/>
        <w:ind w:firstLine="420"/>
      </w:pPr>
      <w:r>
        <w:rPr>
          <w:rFonts w:ascii="仿宋" w:hAnsi="仿宋" w:eastAsia="仿宋"/>
          <w:b w:val="0"/>
          <w:sz w:val="24"/>
        </w:rPr>
        <w:t>一是课程内容与标准衔接不紧。部分课程仍按教材章节组织，未按“标准—流程—任务”重构，标准更新不能及时进入课堂。二是实践条件与真实场景有差距。校内以单项验证性试验为主，缺少结构实体检测、基桩检测的真实构件与设备，企业阶段岗位偏单一。三是流程性岗位任务缺少承担者。收样、委托、报告编制与归档等任务在课程体系中找不到明确对应课程，而这恰恰是毕业生到岗后最先接触的工作。四是评价方式偏重结果。对取样规范性、记录完整性、异常处理合理性的考核不足，不利于养成“数据真实、过程留痕”的职业习惯。</w:t>
      </w:r>
    </w:p>
    <w:p w14:paraId="7935E87E">
      <w:pPr>
        <w:spacing w:before="200" w:after="80" w:line="336" w:lineRule="auto"/>
        <w:ind w:firstLine="0"/>
      </w:pPr>
      <w:r>
        <w:rPr>
          <w:rFonts w:ascii="黑体" w:hAnsi="黑体" w:eastAsia="黑体"/>
          <w:b/>
          <w:sz w:val="28"/>
        </w:rPr>
        <w:t>六、对现场工程师学院建设的建议</w:t>
      </w:r>
    </w:p>
    <w:p w14:paraId="5474CCE3">
      <w:pPr>
        <w:spacing w:before="0" w:after="0" w:line="384" w:lineRule="auto"/>
        <w:ind w:firstLine="420"/>
      </w:pPr>
      <w:r>
        <w:rPr>
          <w:rFonts w:ascii="仿宋" w:hAnsi="仿宋" w:eastAsia="仿宋"/>
          <w:b w:val="0"/>
          <w:sz w:val="24"/>
        </w:rPr>
        <w:t>（一）按“标准—流程—任务”重构专业课程体系。以36项典型工作任务为最小单元反向映射课程内容，把收样与委托、报告编制与归档等此前无人承担的岗位任务写进核心课程，把标准条文转化为可操作的学习任务，明确每门课程对接的岗位任务与考核标准。</w:t>
      </w:r>
    </w:p>
    <w:p w14:paraId="6EC46BE1">
      <w:pPr>
        <w:spacing w:before="0" w:after="0" w:line="384" w:lineRule="auto"/>
        <w:ind w:firstLine="420"/>
      </w:pPr>
      <w:r>
        <w:rPr>
          <w:rFonts w:ascii="仿宋" w:hAnsi="仿宋" w:eastAsia="仿宋"/>
          <w:b w:val="0"/>
          <w:sz w:val="24"/>
        </w:rPr>
        <w:t>（二）做实“2+1”工学交替。前四个学期在校完成公共基础课程、专业基础课程与核心课程；第五、第六学期在企业按“收样与委托受理—样品制备与养护—物理性能检测—力学性能检测—数据处理与报告出具”五个岗位轮换，每个岗位不少于4周，企业阶段学分单列、单独考核。</w:t>
      </w:r>
    </w:p>
    <w:p w14:paraId="24FEDC25">
      <w:pPr>
        <w:spacing w:before="0" w:after="0" w:line="384" w:lineRule="auto"/>
        <w:ind w:firstLine="420"/>
      </w:pPr>
      <w:r>
        <w:rPr>
          <w:rFonts w:ascii="仿宋" w:hAnsi="仿宋" w:eastAsia="仿宋"/>
          <w:b w:val="0"/>
          <w:sz w:val="24"/>
        </w:rPr>
        <w:t>（三）建设“厂中校”教学点。依托江西建院工程检测有限公司，把《基桩质量检测》《土木工程结构实体检测》等实践性强的课程放到企业现场实施，学生在真实委托、真实样品、真实报告的环境中学习，实现“教学任务即生产任务”。</w:t>
      </w:r>
    </w:p>
    <w:p w14:paraId="00071749">
      <w:pPr>
        <w:spacing w:before="0" w:after="0" w:line="384" w:lineRule="auto"/>
        <w:ind w:firstLine="420"/>
      </w:pPr>
      <w:r>
        <w:rPr>
          <w:rFonts w:ascii="仿宋" w:hAnsi="仿宋" w:eastAsia="仿宋"/>
          <w:b w:val="0"/>
          <w:sz w:val="24"/>
        </w:rPr>
        <w:t>（四）建立双导师与标准动态跟踪机制。企业选派技术负责人、授权签字人担任产业导师，与校内教师结对承担课程授课与考核；由专业带头人与企业技术负责人组成标准跟踪小组，每学期梳理一次相关标准更新情况，及时更新教学内容。</w:t>
      </w:r>
    </w:p>
    <w:p w14:paraId="5016FCA8">
      <w:pPr>
        <w:spacing w:before="0" w:after="0" w:line="384" w:lineRule="auto"/>
        <w:ind w:firstLine="420"/>
      </w:pPr>
      <w:r>
        <w:rPr>
          <w:rFonts w:ascii="仿宋" w:hAnsi="仿宋" w:eastAsia="仿宋"/>
          <w:b w:val="0"/>
          <w:sz w:val="24"/>
        </w:rPr>
        <w:t>（五）改革评价方式。实行“过程性考核＋技能测试＋企业评价”三位一体评价，过程性考核权重不低于60%，企业阶段实行月度考核；把“数据真实性”作为一票否决项，凡发现篡改、编造检测数据，该门课程直接认定为不合格。</w:t>
      </w:r>
    </w:p>
    <w:p w14:paraId="5210B6E1">
      <w:pPr>
        <w:spacing w:before="0" w:after="0" w:line="384" w:lineRule="auto"/>
        <w:ind w:firstLine="420"/>
      </w:pPr>
      <w:r>
        <w:rPr>
          <w:rFonts w:ascii="仿宋" w:hAnsi="仿宋" w:eastAsia="仿宋"/>
          <w:b w:val="0"/>
          <w:sz w:val="24"/>
        </w:rPr>
        <w:t>（六）补齐实训条件短板。按检测流程配置收样大厅、样品养护室、力学试验室、结构实体检测与基桩检测实训装置，与企业共建共享检测设备，使校内实训覆盖“从收样到归档”的全流程。</w:t>
      </w:r>
    </w:p>
    <w:p w14:paraId="412B998C">
      <w:pPr>
        <w:spacing w:before="0" w:after="0" w:line="384" w:lineRule="auto"/>
        <w:ind w:firstLine="420"/>
      </w:pPr>
      <w:r>
        <w:rPr>
          <w:rFonts w:ascii="仿宋" w:hAnsi="仿宋" w:eastAsia="仿宋"/>
          <w:b w:val="0"/>
          <w:sz w:val="24"/>
        </w:rPr>
        <w:t>本次调研形成的岗位任务清单、企业生产标准清单与检测业务流程，已作为2026级人才培养方案修订的直接依据：6门专业核心课程按“标准—流程—任务”重新排序，收样与委托、报告编制与归档等岗位任务首次写入课程内容，《基桩质量检测》《土木工程结构实体检测》两门课程调整至企业“厂中校”实施。下一步将按年度开展滚动调研，每学期更新一次标准清单，形成“调研—诊断—修订—评价”闭环，使专业人才培养始终与区域检测行业的技术进步保持同步。</w:t>
      </w:r>
    </w:p>
    <w:p w14:paraId="4CEF3188">
      <w:pPr>
        <w:spacing w:before="0" w:after="0" w:line="312" w:lineRule="auto"/>
        <w:ind w:firstLine="0"/>
        <w:jc w:val="right"/>
      </w:pPr>
    </w:p>
    <w:p w14:paraId="7F33A17C">
      <w:bookmarkStart w:id="0" w:name="_GoBack"/>
      <w:bookmarkEnd w:id="0"/>
    </w:p>
    <w:sectPr>
      <w:footerReference r:id="rId5" w:type="default"/>
      <w:pgSz w:w="11906" w:h="16838"/>
      <w:pgMar w:top="1417" w:right="1474" w:bottom="1417" w:left="147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AEEC2">
    <w:pPr>
      <w:pStyle w:val="2"/>
      <w:jc w:val="center"/>
    </w:pPr>
    <w:r>
      <w:rPr>
        <w:rFonts w:ascii="宋体" w:hAnsi="宋体" w:eastAsia="宋体"/>
        <w:sz w:val="21"/>
      </w:rPr>
      <w:t xml:space="preserve">— </w:t>
    </w:r>
    <w:r>
      <w:rPr>
        <w:rFonts w:ascii="宋体" w:hAnsi="宋体" w:eastAsia="宋体"/>
        <w:sz w:val="21"/>
      </w:rPr>
      <w:fldChar w:fldCharType="begin"/>
    </w:r>
    <w:r>
      <w:rPr>
        <w:rFonts w:ascii="宋体" w:hAnsi="宋体" w:eastAsia="宋体"/>
        <w:sz w:val="21"/>
      </w:rPr>
      <w:instrText xml:space="preserve"> PAGE </w:instrText>
    </w:r>
    <w:r>
      <w:rPr>
        <w:rFonts w:ascii="宋体" w:hAnsi="宋体" w:eastAsia="宋体"/>
        <w:sz w:val="21"/>
      </w:rPr>
      <w:fldChar w:fldCharType="end"/>
    </w:r>
    <w:r>
      <w:rPr>
        <w:rFonts w:ascii="宋体" w:hAnsi="宋体" w:eastAsia="宋体"/>
        <w:sz w:val="21"/>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2335F3"/>
    <w:rsid w:val="672335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仿宋" w:hAnsi="仿宋" w:eastAsia="仿宋" w:cstheme="minorBidi"/>
      <w:sz w:val="24"/>
      <w:szCs w:val="22"/>
      <w:lang w:val="en-US" w:eastAsia="en-US"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680"/>
        <w:tab w:val="right" w:pos="9360"/>
      </w:tabs>
      <w:spacing w:after="0" w:line="240" w:lineRule="auto"/>
    </w:p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2026-11-08T08:56:00Z</dcterms:created>
  <dc:creator>乌拉</dc:creator>
  <cp:lastModifiedBy>乌拉</cp:lastModifiedBy>
  <dcterms:modified xsi:type="dcterms:W3CDTF">2026-11-08T08:56:54Z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10D8B334699D43859D219139BA019666_11</vt:lpwstr>
  </property>
  <property fmtid="{D5CDD505-2E9C-101B-9397-08002B2CF9AE}" pid="4" name="KSOTemplateDocerSaveRecord">
    <vt:lpwstr>eyJoZGlkIjoiNjllOGRlM2ViZmM2MTFjZWNhNWM4YzQ2YTRhOWU1NzAiLCJ1c2VySWQiOiIzNjM4NTYwOTgifQ==</vt:lpwstr>
  </property>
</Properties>
</file>