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6A908">
      <w:pPr>
        <w:spacing w:before="0" w:after="40" w:line="312" w:lineRule="auto"/>
        <w:ind w:firstLine="0"/>
        <w:jc w:val="center"/>
      </w:pPr>
      <w:bookmarkStart w:id="0" w:name="_GoBack"/>
      <w:r>
        <w:rPr>
          <w:rFonts w:ascii="黑体" w:hAnsi="黑体" w:eastAsia="黑体"/>
          <w:b/>
          <w:sz w:val="36"/>
        </w:rPr>
        <w:t>建筑材料检测技术专业发展调研报告</w:t>
      </w:r>
    </w:p>
    <w:p w14:paraId="1D2A2FA3">
      <w:pPr>
        <w:spacing w:before="0" w:after="40" w:line="312" w:lineRule="auto"/>
        <w:ind w:firstLine="0"/>
        <w:jc w:val="center"/>
      </w:pPr>
      <w:r>
        <w:rPr>
          <w:rFonts w:ascii="黑体" w:hAnsi="黑体" w:eastAsia="黑体"/>
          <w:b/>
          <w:sz w:val="28"/>
        </w:rPr>
        <w:t>（2026年度）</w:t>
      </w:r>
    </w:p>
    <w:bookmarkEnd w:id="0"/>
    <w:p w14:paraId="6C5748EA">
      <w:pPr>
        <w:spacing w:before="0" w:after="200" w:line="312" w:lineRule="auto"/>
        <w:ind w:firstLine="0"/>
        <w:jc w:val="center"/>
      </w:pPr>
      <w:r>
        <w:rPr>
          <w:rFonts w:ascii="楷体" w:hAnsi="楷体" w:eastAsia="楷体"/>
          <w:b w:val="0"/>
          <w:sz w:val="24"/>
        </w:rPr>
        <w:t>土木工程检测技术现场工程师学院</w:t>
      </w:r>
    </w:p>
    <w:p w14:paraId="18848828">
      <w:pPr>
        <w:spacing w:before="200" w:after="80" w:line="336" w:lineRule="auto"/>
        <w:ind w:firstLine="0"/>
      </w:pPr>
      <w:r>
        <w:rPr>
          <w:rFonts w:ascii="黑体" w:hAnsi="黑体" w:eastAsia="黑体"/>
          <w:b/>
          <w:sz w:val="28"/>
        </w:rPr>
        <w:t>一、调研的背景与目的</w:t>
      </w:r>
    </w:p>
    <w:p w14:paraId="0F16166F">
      <w:pPr>
        <w:spacing w:before="120" w:after="40" w:line="336" w:lineRule="auto"/>
        <w:ind w:firstLine="0"/>
      </w:pPr>
      <w:r>
        <w:rPr>
          <w:rFonts w:ascii="黑体" w:hAnsi="黑体" w:eastAsia="黑体"/>
          <w:b/>
          <w:sz w:val="24"/>
        </w:rPr>
        <w:t>1.调研背景</w:t>
      </w:r>
    </w:p>
    <w:p w14:paraId="4232978B">
      <w:pPr>
        <w:spacing w:before="0" w:after="0" w:line="384" w:lineRule="auto"/>
        <w:ind w:firstLine="420"/>
      </w:pPr>
      <w:r>
        <w:rPr>
          <w:rFonts w:ascii="仿宋" w:hAnsi="仿宋" w:eastAsia="仿宋"/>
          <w:b w:val="0"/>
          <w:sz w:val="24"/>
        </w:rPr>
        <w:t>建筑材料检测是工程质量控制的第一道关口。从水泥、砂石、钢筋等原材料的进场验收，到混凝土、砂浆的过程控制，再到建筑节能、室内环境和装饰装修材料的专项检测，每一个数据都直接关系到工程实体质量与使用安全。随着《建设工程质量检测管理办法》《检验检测机构资质认定管理办法》等制度的实施，检测机构的人员资格、设备配置、场所条件与管理体系运行情况全面纳入监管，检测报告实行终身责任追溯，行业对检测人员的标准理解能力与数据责任意识提出了更高要求。</w:t>
      </w:r>
    </w:p>
    <w:p w14:paraId="649C9041">
      <w:pPr>
        <w:spacing w:before="0" w:after="0" w:line="384" w:lineRule="auto"/>
        <w:ind w:firstLine="420"/>
      </w:pPr>
      <w:r>
        <w:rPr>
          <w:rFonts w:ascii="仿宋" w:hAnsi="仿宋" w:eastAsia="仿宋"/>
          <w:b w:val="0"/>
          <w:sz w:val="24"/>
        </w:rPr>
        <w:t>从市场规模看，我国建筑材料检验检测机构数量由2015年的3881家增长至2018年的7044家，行业营业收入由109.52亿元增长至268.26亿元，占检验检测行业营业收入的比重由6.08%提升至9.54%；建设工程检验检测市场规模由2016年的324.48亿元增长至2021年的713.31亿元。机构数量与业务规模同步扩张，直接带动了对检测技术技能人才的需求。</w:t>
      </w:r>
    </w:p>
    <w:p w14:paraId="51C4002E">
      <w:pPr>
        <w:spacing w:before="0" w:after="0" w:line="384" w:lineRule="auto"/>
        <w:ind w:firstLine="420"/>
      </w:pPr>
      <w:r>
        <w:rPr>
          <w:rFonts w:ascii="仿宋" w:hAnsi="仿宋" w:eastAsia="仿宋"/>
          <w:b w:val="0"/>
          <w:sz w:val="24"/>
        </w:rPr>
        <w:t>从产业定位看，建材产业链是江西省重点产业链之一，省里明确要求坚持绿色化、高端化、多元化、集群化方向，强化与建筑、装配、装饰等中下游应用端协同，培育绿色建材、无机非金属新材料等新兴成长产业链。建材产品的品种确认、性能检验与进场验收，需要大量既懂材料、又懂标准、还会判定的检测人员。学校建筑材料检测技术专业与江西建院工程检测有限公司合作共建，依托企业真实的检测任务与实训条件办学；2023年起纳入土木工程检测技术现场工程师学院统一建设，按“2+1”</w:t>
      </w:r>
      <w:r>
        <w:rPr>
          <w:rFonts w:hint="eastAsia"/>
          <w:b w:val="0"/>
          <w:sz w:val="24"/>
          <w:lang w:val="en-US" w:eastAsia="zh-CN"/>
        </w:rPr>
        <w:t>培养模式</w:t>
      </w:r>
      <w:r>
        <w:rPr>
          <w:rFonts w:ascii="仿宋" w:hAnsi="仿宋" w:eastAsia="仿宋"/>
          <w:b w:val="0"/>
          <w:sz w:val="24"/>
        </w:rPr>
        <w:t>组织教学。</w:t>
      </w:r>
    </w:p>
    <w:p w14:paraId="64936796">
      <w:pPr>
        <w:spacing w:before="120" w:after="40" w:line="336" w:lineRule="auto"/>
        <w:ind w:firstLine="0"/>
      </w:pPr>
      <w:r>
        <w:rPr>
          <w:rFonts w:ascii="黑体" w:hAnsi="黑体" w:eastAsia="黑体"/>
          <w:b/>
          <w:sz w:val="24"/>
        </w:rPr>
        <w:t>2.调研目的</w:t>
      </w:r>
    </w:p>
    <w:p w14:paraId="655C029B">
      <w:pPr>
        <w:spacing w:before="0" w:after="0" w:line="384" w:lineRule="auto"/>
        <w:ind w:firstLine="420"/>
      </w:pPr>
      <w:r>
        <w:rPr>
          <w:rFonts w:ascii="仿宋" w:hAnsi="仿宋" w:eastAsia="仿宋"/>
          <w:b w:val="0"/>
          <w:sz w:val="24"/>
        </w:rPr>
        <w:t>一是摸清区域建筑材料检测行业的岗位结构与人才需求总量，校准专业定位与培养目标；二是梳理检测岗位的典型工作任务与能力要求，为课程内容提供可核对的依据；三是提炼企业现行的生产标准、检测流程与管理要求，解决课程内容滞后于标准更新的问题；四是评估毕业生能力与岗位要求的差距，找准实践教学与职业素养培养的薄弱环节；五是形成2026级人才培养方案修订和现场工程师学院课程、师资、实训条件建设的建议。</w:t>
      </w:r>
    </w:p>
    <w:p w14:paraId="2FC12ABB">
      <w:pPr>
        <w:spacing w:before="200" w:after="80" w:line="336" w:lineRule="auto"/>
        <w:ind w:firstLine="0"/>
      </w:pPr>
      <w:r>
        <w:rPr>
          <w:rFonts w:ascii="黑体" w:hAnsi="黑体" w:eastAsia="黑体"/>
          <w:b/>
          <w:sz w:val="28"/>
        </w:rPr>
        <w:t>二、调研的方法与对象</w:t>
      </w:r>
    </w:p>
    <w:p w14:paraId="4C116724">
      <w:pPr>
        <w:spacing w:before="120" w:after="40" w:line="336" w:lineRule="auto"/>
        <w:ind w:firstLine="0"/>
      </w:pPr>
      <w:r>
        <w:rPr>
          <w:rFonts w:ascii="黑体" w:hAnsi="黑体" w:eastAsia="黑体"/>
          <w:b/>
          <w:sz w:val="24"/>
        </w:rPr>
        <w:t>1.调研方法</w:t>
      </w:r>
    </w:p>
    <w:p w14:paraId="7E73FBFB">
      <w:pPr>
        <w:spacing w:before="0" w:after="0" w:line="384" w:lineRule="auto"/>
        <w:ind w:firstLine="420"/>
      </w:pPr>
      <w:r>
        <w:rPr>
          <w:rFonts w:ascii="仿宋" w:hAnsi="仿宋" w:eastAsia="仿宋"/>
          <w:b w:val="0"/>
          <w:sz w:val="24"/>
        </w:rPr>
        <w:t>采用问卷调查、半结构化访谈、实地考察、标准文本梳理四法并用。问卷分企业、毕业生、兄弟院校三套，围绕岗位设置、能力重要性、能力满意度、证书要求、校企合作意愿设计题项；访谈选取10家代表性企业的技术负责人、人力资源负责人和一线检测人员，重点追问“依据哪本标准、哪一步最容易出错”；实地走访5家检测机构，参观收样大厅、样品养护室、力学试验室和节能检测室，现场观摩委托受理、见证取样、样品流转、检测实施和报告签发等环节；同步梳理企业现行执行的检测标准与管理体系文件。</w:t>
      </w:r>
    </w:p>
    <w:p w14:paraId="266E8E4C">
      <w:pPr>
        <w:spacing w:before="120" w:after="40" w:line="336" w:lineRule="auto"/>
        <w:ind w:firstLine="0"/>
      </w:pPr>
      <w:r>
        <w:rPr>
          <w:rFonts w:ascii="黑体" w:hAnsi="黑体" w:eastAsia="黑体"/>
          <w:b/>
          <w:sz w:val="24"/>
        </w:rPr>
        <w:t>2.调研对象</w:t>
      </w:r>
    </w:p>
    <w:p w14:paraId="7470322D">
      <w:pPr>
        <w:spacing w:before="0" w:after="0" w:line="384" w:lineRule="auto"/>
        <w:ind w:firstLine="420"/>
      </w:pPr>
      <w:r>
        <w:rPr>
          <w:rFonts w:ascii="仿宋" w:hAnsi="仿宋" w:eastAsia="仿宋"/>
          <w:b w:val="0"/>
          <w:sz w:val="24"/>
        </w:rPr>
        <w:t>企业样本覆盖省内及省外共30家单位，包括合作企业江西建院工程检测有限公司及国检集团在赣分支机构等第三方检测机构、大型施工企业项目部试验室（中建、中铁、中交等）、建材生产企业（如江西万年青水泥、江西亚东水泥）以及政府质量监督机构；院校样本为8所开设建筑材料检测技术或相近专业的高职院校；毕业生样本为50名近五年毕业生，分布在检测机构、施工企业、建材企业等岗位。</w:t>
      </w:r>
    </w:p>
    <w:p w14:paraId="0D19C5B2">
      <w:pPr>
        <w:spacing w:before="120" w:after="40" w:line="336" w:lineRule="auto"/>
        <w:ind w:firstLine="0"/>
      </w:pPr>
      <w:r>
        <w:rPr>
          <w:rFonts w:ascii="黑体" w:hAnsi="黑体" w:eastAsia="黑体"/>
          <w:b/>
          <w:sz w:val="24"/>
        </w:rPr>
        <w:t>3.调研时间</w:t>
      </w:r>
    </w:p>
    <w:p w14:paraId="7FB5490D">
      <w:pPr>
        <w:spacing w:before="0" w:after="0" w:line="384" w:lineRule="auto"/>
        <w:ind w:firstLine="420"/>
      </w:pPr>
      <w:r>
        <w:rPr>
          <w:rFonts w:ascii="仿宋" w:hAnsi="仿宋" w:eastAsia="仿宋"/>
          <w:b w:val="0"/>
          <w:sz w:val="24"/>
        </w:rPr>
        <w:t>2025年11月至2026年5月。其中问卷发放与回收为2025年11—12月，企业走访、深度访谈与跟岗观察为2026年3—5月。</w:t>
      </w:r>
    </w:p>
    <w:p w14:paraId="3FA1C95F">
      <w:pPr>
        <w:spacing w:before="200" w:after="80" w:line="336" w:lineRule="auto"/>
        <w:ind w:firstLine="0"/>
      </w:pPr>
      <w:r>
        <w:rPr>
          <w:rFonts w:ascii="黑体" w:hAnsi="黑体" w:eastAsia="黑体"/>
          <w:b/>
          <w:sz w:val="28"/>
        </w:rPr>
        <w:t>三、行业需求与岗位分析</w:t>
      </w:r>
    </w:p>
    <w:p w14:paraId="4708EFBC">
      <w:pPr>
        <w:spacing w:before="120" w:after="40" w:line="336" w:lineRule="auto"/>
        <w:ind w:firstLine="0"/>
      </w:pPr>
      <w:r>
        <w:rPr>
          <w:rFonts w:ascii="黑体" w:hAnsi="黑体" w:eastAsia="黑体"/>
          <w:b/>
          <w:sz w:val="24"/>
        </w:rPr>
        <w:t>1.岗位群与需求结构</w:t>
      </w:r>
    </w:p>
    <w:p w14:paraId="029714A4">
      <w:pPr>
        <w:spacing w:before="0" w:after="0" w:line="384" w:lineRule="auto"/>
        <w:ind w:firstLine="420"/>
      </w:pPr>
      <w:r>
        <w:rPr>
          <w:rFonts w:ascii="仿宋" w:hAnsi="仿宋" w:eastAsia="仿宋"/>
          <w:b w:val="0"/>
          <w:sz w:val="24"/>
        </w:rPr>
        <w:t>区域建筑材料检测岗位可归并为见证取样检测、主体结构检测、建筑节能与室内环境检测、市政道路检测、实验室管理等岗位群。按企业用人岗位数与招聘计划估算，各岗位群的需求比例如表1所示。其中见证取样检测员与主体结构检测员合计占六成，是专业面向的主体岗位；建筑节能与室内环境检测员需求占比已达两成，且增速最快。</w:t>
      </w:r>
    </w:p>
    <w:p w14:paraId="30F83F32">
      <w:pPr>
        <w:spacing w:before="120" w:after="40" w:line="288" w:lineRule="auto"/>
        <w:ind w:firstLine="0"/>
        <w:jc w:val="center"/>
      </w:pPr>
      <w:r>
        <w:rPr>
          <w:rFonts w:ascii="仿宋" w:hAnsi="仿宋" w:eastAsia="仿宋"/>
          <w:b/>
          <w:sz w:val="21"/>
        </w:rPr>
        <w:t>表1　建筑材料检测岗位群及需求比例</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8"/>
        <w:gridCol w:w="5896"/>
        <w:gridCol w:w="1134"/>
      </w:tblGrid>
      <w:tr w14:paraId="5FF3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928" w:type="dxa"/>
            <w:vAlign w:val="center"/>
          </w:tcPr>
          <w:p w14:paraId="3430944E">
            <w:pPr>
              <w:spacing w:before="20" w:after="20" w:line="240" w:lineRule="auto"/>
              <w:ind w:firstLine="0"/>
              <w:jc w:val="center"/>
            </w:pPr>
            <w:r>
              <w:rPr>
                <w:rFonts w:ascii="仿宋" w:hAnsi="仿宋" w:eastAsia="仿宋"/>
                <w:b/>
                <w:sz w:val="17"/>
              </w:rPr>
              <w:t>岗位名称</w:t>
            </w:r>
          </w:p>
        </w:tc>
        <w:tc>
          <w:tcPr>
            <w:tcW w:w="5896" w:type="dxa"/>
            <w:vAlign w:val="center"/>
          </w:tcPr>
          <w:p w14:paraId="6EC3E5E4">
            <w:pPr>
              <w:spacing w:before="20" w:after="20" w:line="240" w:lineRule="auto"/>
              <w:ind w:firstLine="0"/>
              <w:jc w:val="center"/>
            </w:pPr>
            <w:r>
              <w:rPr>
                <w:rFonts w:ascii="仿宋" w:hAnsi="仿宋" w:eastAsia="仿宋"/>
                <w:b/>
                <w:sz w:val="17"/>
              </w:rPr>
              <w:t>主要职责</w:t>
            </w:r>
          </w:p>
        </w:tc>
        <w:tc>
          <w:tcPr>
            <w:tcW w:w="1134" w:type="dxa"/>
            <w:vAlign w:val="center"/>
          </w:tcPr>
          <w:p w14:paraId="79D602EC">
            <w:pPr>
              <w:spacing w:before="20" w:after="20" w:line="240" w:lineRule="auto"/>
              <w:ind w:firstLine="0"/>
              <w:jc w:val="center"/>
            </w:pPr>
            <w:r>
              <w:rPr>
                <w:rFonts w:ascii="仿宋" w:hAnsi="仿宋" w:eastAsia="仿宋"/>
                <w:b/>
                <w:sz w:val="17"/>
              </w:rPr>
              <w:t>需求比例</w:t>
            </w:r>
          </w:p>
        </w:tc>
      </w:tr>
      <w:tr w14:paraId="0603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2224C4BE">
            <w:pPr>
              <w:spacing w:before="20" w:after="20" w:line="240" w:lineRule="auto"/>
              <w:ind w:firstLine="0"/>
              <w:jc w:val="center"/>
            </w:pPr>
            <w:r>
              <w:rPr>
                <w:rFonts w:ascii="仿宋" w:hAnsi="仿宋" w:eastAsia="仿宋"/>
                <w:b w:val="0"/>
                <w:sz w:val="17"/>
              </w:rPr>
              <w:t>见证取样检测员</w:t>
            </w:r>
          </w:p>
        </w:tc>
        <w:tc>
          <w:tcPr>
            <w:tcW w:w="5896" w:type="dxa"/>
            <w:vAlign w:val="center"/>
          </w:tcPr>
          <w:p w14:paraId="18014B41">
            <w:pPr>
              <w:spacing w:before="20" w:after="20" w:line="240" w:lineRule="auto"/>
              <w:ind w:firstLine="0"/>
              <w:jc w:val="left"/>
            </w:pPr>
            <w:r>
              <w:rPr>
                <w:rFonts w:ascii="仿宋" w:hAnsi="仿宋" w:eastAsia="仿宋"/>
                <w:b w:val="0"/>
                <w:sz w:val="17"/>
              </w:rPr>
              <w:t>施工现场建筑材料见证取样、送检、见证记录与样品管理</w:t>
            </w:r>
          </w:p>
        </w:tc>
        <w:tc>
          <w:tcPr>
            <w:tcW w:w="1134" w:type="dxa"/>
            <w:vAlign w:val="center"/>
          </w:tcPr>
          <w:p w14:paraId="357F9282">
            <w:pPr>
              <w:spacing w:before="20" w:after="20" w:line="240" w:lineRule="auto"/>
              <w:ind w:firstLine="0"/>
              <w:jc w:val="left"/>
            </w:pPr>
            <w:r>
              <w:rPr>
                <w:rFonts w:ascii="仿宋" w:hAnsi="仿宋" w:eastAsia="仿宋"/>
                <w:b w:val="0"/>
                <w:sz w:val="17"/>
              </w:rPr>
              <w:t>35%</w:t>
            </w:r>
          </w:p>
        </w:tc>
      </w:tr>
      <w:tr w14:paraId="3419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10BA5159">
            <w:pPr>
              <w:spacing w:before="20" w:after="20" w:line="240" w:lineRule="auto"/>
              <w:ind w:firstLine="0"/>
              <w:jc w:val="center"/>
            </w:pPr>
            <w:r>
              <w:rPr>
                <w:rFonts w:ascii="仿宋" w:hAnsi="仿宋" w:eastAsia="仿宋"/>
                <w:b w:val="0"/>
                <w:sz w:val="17"/>
              </w:rPr>
              <w:t>主体结构检测员</w:t>
            </w:r>
          </w:p>
        </w:tc>
        <w:tc>
          <w:tcPr>
            <w:tcW w:w="5896" w:type="dxa"/>
            <w:vAlign w:val="center"/>
          </w:tcPr>
          <w:p w14:paraId="760A8485">
            <w:pPr>
              <w:spacing w:before="20" w:after="20" w:line="240" w:lineRule="auto"/>
              <w:ind w:firstLine="0"/>
              <w:jc w:val="left"/>
            </w:pPr>
            <w:r>
              <w:rPr>
                <w:rFonts w:ascii="仿宋" w:hAnsi="仿宋" w:eastAsia="仿宋"/>
                <w:b w:val="0"/>
                <w:sz w:val="17"/>
              </w:rPr>
              <w:t>混凝土结构、钢结构实体检测，回弹、钻芯、超声等检测与判定</w:t>
            </w:r>
          </w:p>
        </w:tc>
        <w:tc>
          <w:tcPr>
            <w:tcW w:w="1134" w:type="dxa"/>
            <w:vAlign w:val="center"/>
          </w:tcPr>
          <w:p w14:paraId="7C585A4C">
            <w:pPr>
              <w:spacing w:before="20" w:after="20" w:line="240" w:lineRule="auto"/>
              <w:ind w:firstLine="0"/>
              <w:jc w:val="left"/>
            </w:pPr>
            <w:r>
              <w:rPr>
                <w:rFonts w:ascii="仿宋" w:hAnsi="仿宋" w:eastAsia="仿宋"/>
                <w:b w:val="0"/>
                <w:sz w:val="17"/>
              </w:rPr>
              <w:t>25%</w:t>
            </w:r>
          </w:p>
        </w:tc>
      </w:tr>
      <w:tr w14:paraId="3C74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17139469">
            <w:pPr>
              <w:spacing w:before="20" w:after="20" w:line="240" w:lineRule="auto"/>
              <w:ind w:firstLine="0"/>
              <w:jc w:val="center"/>
            </w:pPr>
            <w:r>
              <w:rPr>
                <w:rFonts w:ascii="仿宋" w:hAnsi="仿宋" w:eastAsia="仿宋"/>
                <w:b w:val="0"/>
                <w:sz w:val="17"/>
              </w:rPr>
              <w:t>建筑节能与室内环境检测员</w:t>
            </w:r>
          </w:p>
        </w:tc>
        <w:tc>
          <w:tcPr>
            <w:tcW w:w="5896" w:type="dxa"/>
            <w:vAlign w:val="center"/>
          </w:tcPr>
          <w:p w14:paraId="2E2210A0">
            <w:pPr>
              <w:spacing w:before="20" w:after="20" w:line="240" w:lineRule="auto"/>
              <w:ind w:firstLine="0"/>
              <w:jc w:val="left"/>
            </w:pPr>
            <w:r>
              <w:rPr>
                <w:rFonts w:ascii="仿宋" w:hAnsi="仿宋" w:eastAsia="仿宋"/>
                <w:b w:val="0"/>
                <w:sz w:val="17"/>
              </w:rPr>
              <w:t>保温、门窗等节能材料性能检测，室内环境污染物检测</w:t>
            </w:r>
          </w:p>
        </w:tc>
        <w:tc>
          <w:tcPr>
            <w:tcW w:w="1134" w:type="dxa"/>
            <w:vAlign w:val="center"/>
          </w:tcPr>
          <w:p w14:paraId="2003391C">
            <w:pPr>
              <w:spacing w:before="20" w:after="20" w:line="240" w:lineRule="auto"/>
              <w:ind w:firstLine="0"/>
              <w:jc w:val="left"/>
            </w:pPr>
            <w:r>
              <w:rPr>
                <w:rFonts w:ascii="仿宋" w:hAnsi="仿宋" w:eastAsia="仿宋"/>
                <w:b w:val="0"/>
                <w:sz w:val="17"/>
              </w:rPr>
              <w:t>20%</w:t>
            </w:r>
          </w:p>
        </w:tc>
      </w:tr>
      <w:tr w14:paraId="4221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062F47FD">
            <w:pPr>
              <w:spacing w:before="20" w:after="20" w:line="240" w:lineRule="auto"/>
              <w:ind w:firstLine="0"/>
              <w:jc w:val="center"/>
            </w:pPr>
            <w:r>
              <w:rPr>
                <w:rFonts w:ascii="仿宋" w:hAnsi="仿宋" w:eastAsia="仿宋"/>
                <w:b w:val="0"/>
                <w:sz w:val="17"/>
              </w:rPr>
              <w:t>市政道路检测员</w:t>
            </w:r>
          </w:p>
        </w:tc>
        <w:tc>
          <w:tcPr>
            <w:tcW w:w="5896" w:type="dxa"/>
            <w:vAlign w:val="center"/>
          </w:tcPr>
          <w:p w14:paraId="065C8F8B">
            <w:pPr>
              <w:spacing w:before="20" w:after="20" w:line="240" w:lineRule="auto"/>
              <w:ind w:firstLine="0"/>
              <w:jc w:val="left"/>
            </w:pPr>
            <w:r>
              <w:rPr>
                <w:rFonts w:ascii="仿宋" w:hAnsi="仿宋" w:eastAsia="仿宋"/>
                <w:b w:val="0"/>
                <w:sz w:val="17"/>
              </w:rPr>
              <w:t>沥青、路用集料、路基路面现场检测</w:t>
            </w:r>
          </w:p>
        </w:tc>
        <w:tc>
          <w:tcPr>
            <w:tcW w:w="1134" w:type="dxa"/>
            <w:vAlign w:val="center"/>
          </w:tcPr>
          <w:p w14:paraId="060FDAB2">
            <w:pPr>
              <w:spacing w:before="20" w:after="20" w:line="240" w:lineRule="auto"/>
              <w:ind w:firstLine="0"/>
              <w:jc w:val="left"/>
            </w:pPr>
            <w:r>
              <w:rPr>
                <w:rFonts w:ascii="仿宋" w:hAnsi="仿宋" w:eastAsia="仿宋"/>
                <w:b w:val="0"/>
                <w:sz w:val="17"/>
              </w:rPr>
              <w:t>10%</w:t>
            </w:r>
          </w:p>
        </w:tc>
      </w:tr>
      <w:tr w14:paraId="6136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1DF0C506">
            <w:pPr>
              <w:spacing w:before="20" w:after="20" w:line="240" w:lineRule="auto"/>
              <w:ind w:firstLine="0"/>
              <w:jc w:val="center"/>
            </w:pPr>
            <w:r>
              <w:rPr>
                <w:rFonts w:ascii="仿宋" w:hAnsi="仿宋" w:eastAsia="仿宋"/>
                <w:b w:val="0"/>
                <w:sz w:val="17"/>
              </w:rPr>
              <w:t>实验室管理员、技术员</w:t>
            </w:r>
          </w:p>
        </w:tc>
        <w:tc>
          <w:tcPr>
            <w:tcW w:w="5896" w:type="dxa"/>
            <w:vAlign w:val="center"/>
          </w:tcPr>
          <w:p w14:paraId="5246FC84">
            <w:pPr>
              <w:spacing w:before="20" w:after="20" w:line="240" w:lineRule="auto"/>
              <w:ind w:firstLine="0"/>
              <w:jc w:val="left"/>
            </w:pPr>
            <w:r>
              <w:rPr>
                <w:rFonts w:ascii="仿宋" w:hAnsi="仿宋" w:eastAsia="仿宋"/>
                <w:b w:val="0"/>
                <w:sz w:val="17"/>
              </w:rPr>
              <w:t>实验室日常管理、设备维护、样品管理、报告归档</w:t>
            </w:r>
          </w:p>
        </w:tc>
        <w:tc>
          <w:tcPr>
            <w:tcW w:w="1134" w:type="dxa"/>
            <w:vAlign w:val="center"/>
          </w:tcPr>
          <w:p w14:paraId="5C9F0B32">
            <w:pPr>
              <w:spacing w:before="20" w:after="20" w:line="240" w:lineRule="auto"/>
              <w:ind w:firstLine="0"/>
              <w:jc w:val="left"/>
            </w:pPr>
            <w:r>
              <w:rPr>
                <w:rFonts w:ascii="仿宋" w:hAnsi="仿宋" w:eastAsia="仿宋"/>
                <w:b w:val="0"/>
                <w:sz w:val="17"/>
              </w:rPr>
              <w:t>5%</w:t>
            </w:r>
          </w:p>
        </w:tc>
      </w:tr>
      <w:tr w14:paraId="16E8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8" w:type="dxa"/>
            <w:vAlign w:val="center"/>
          </w:tcPr>
          <w:p w14:paraId="4FE58F93">
            <w:pPr>
              <w:spacing w:before="20" w:after="20" w:line="240" w:lineRule="auto"/>
              <w:ind w:firstLine="0"/>
              <w:jc w:val="center"/>
            </w:pPr>
            <w:r>
              <w:rPr>
                <w:rFonts w:ascii="仿宋" w:hAnsi="仿宋" w:eastAsia="仿宋"/>
                <w:b w:val="0"/>
                <w:sz w:val="17"/>
              </w:rPr>
              <w:t>市场与业务人员</w:t>
            </w:r>
          </w:p>
        </w:tc>
        <w:tc>
          <w:tcPr>
            <w:tcW w:w="5896" w:type="dxa"/>
            <w:vAlign w:val="center"/>
          </w:tcPr>
          <w:p w14:paraId="2C2C5D52">
            <w:pPr>
              <w:spacing w:before="20" w:after="20" w:line="240" w:lineRule="auto"/>
              <w:ind w:firstLine="0"/>
              <w:jc w:val="left"/>
            </w:pPr>
            <w:r>
              <w:rPr>
                <w:rFonts w:ascii="仿宋" w:hAnsi="仿宋" w:eastAsia="仿宋"/>
                <w:b w:val="0"/>
                <w:sz w:val="17"/>
              </w:rPr>
              <w:t>检测业务拓展、客户维护、投标文件编制</w:t>
            </w:r>
          </w:p>
        </w:tc>
        <w:tc>
          <w:tcPr>
            <w:tcW w:w="1134" w:type="dxa"/>
            <w:vAlign w:val="center"/>
          </w:tcPr>
          <w:p w14:paraId="6A500F6B">
            <w:pPr>
              <w:spacing w:before="20" w:after="20" w:line="240" w:lineRule="auto"/>
              <w:ind w:firstLine="0"/>
              <w:jc w:val="left"/>
            </w:pPr>
            <w:r>
              <w:rPr>
                <w:rFonts w:ascii="仿宋" w:hAnsi="仿宋" w:eastAsia="仿宋"/>
                <w:b w:val="0"/>
                <w:sz w:val="17"/>
              </w:rPr>
              <w:t>5%</w:t>
            </w:r>
          </w:p>
        </w:tc>
      </w:tr>
    </w:tbl>
    <w:p w14:paraId="4AE54940">
      <w:pPr>
        <w:spacing w:before="0" w:after="40" w:line="240" w:lineRule="auto"/>
        <w:ind w:firstLine="0"/>
      </w:pPr>
    </w:p>
    <w:p w14:paraId="25DC9A44">
      <w:pPr>
        <w:spacing w:before="120" w:after="40" w:line="336" w:lineRule="auto"/>
        <w:ind w:firstLine="0"/>
      </w:pPr>
      <w:r>
        <w:rPr>
          <w:rFonts w:ascii="黑体" w:hAnsi="黑体" w:eastAsia="黑体"/>
          <w:b/>
          <w:sz w:val="24"/>
        </w:rPr>
        <w:t>2.能力要求</w:t>
      </w:r>
    </w:p>
    <w:p w14:paraId="0D115B96">
      <w:pPr>
        <w:spacing w:before="0" w:after="0" w:line="384" w:lineRule="auto"/>
        <w:ind w:firstLine="420"/>
      </w:pPr>
      <w:r>
        <w:rPr>
          <w:rFonts w:ascii="仿宋" w:hAnsi="仿宋" w:eastAsia="仿宋"/>
          <w:b w:val="0"/>
          <w:sz w:val="24"/>
        </w:rPr>
        <w:t>企业对毕业生的能力要求由强到弱依次为：基础检测操作技能（水泥、砂石、混凝土、砂浆等常规性能检测）、仪器设备操作与维护（压力试验机、万能试验机、回弹仪、养护设备等）、标准规范查询与应用（快速查找并准确理解GB、JGJ系列标准的适用范围与判定规则）、数据处理与报告编写（修约、判定、编制规范报告）、沟通与协调能力、图纸识读能力。企业反映，前四项是“进门门槛”，后两项决定“能走多远”。</w:t>
      </w:r>
    </w:p>
    <w:p w14:paraId="3A36ECDD">
      <w:pPr>
        <w:spacing w:before="0" w:after="0" w:line="384" w:lineRule="auto"/>
        <w:ind w:firstLine="420"/>
      </w:pPr>
      <w:r>
        <w:rPr>
          <w:rFonts w:ascii="仿宋" w:hAnsi="仿宋" w:eastAsia="仿宋"/>
          <w:b w:val="0"/>
          <w:sz w:val="24"/>
        </w:rPr>
        <w:t>企业同时指出毕业生在四类能力上明显不足：面对非标准、异常的检测结果或复杂工程质量问题时缺少分析思路；对无损检测新技术、新设备上手慢；缺少项目负责人视角的组织与协调经验；对检测相关的法律法规、合同与质量责任了解不深。这四类能力恰是学校培养环节最难覆盖、也最需要企业真实项目支撑的部分。</w:t>
      </w:r>
    </w:p>
    <w:p w14:paraId="7D8C3BB8">
      <w:pPr>
        <w:spacing w:before="200" w:after="80" w:line="336" w:lineRule="auto"/>
        <w:ind w:firstLine="0"/>
      </w:pPr>
      <w:r>
        <w:rPr>
          <w:rFonts w:ascii="黑体" w:hAnsi="黑体" w:eastAsia="黑体"/>
          <w:b/>
          <w:sz w:val="28"/>
        </w:rPr>
        <w:t>四、企业生产标准、生产流程与岗位任务</w:t>
      </w:r>
    </w:p>
    <w:p w14:paraId="75318A10">
      <w:pPr>
        <w:spacing w:before="120" w:after="40" w:line="336" w:lineRule="auto"/>
        <w:ind w:firstLine="0"/>
      </w:pPr>
      <w:r>
        <w:rPr>
          <w:rFonts w:ascii="黑体" w:hAnsi="黑体" w:eastAsia="黑体"/>
          <w:b/>
          <w:sz w:val="24"/>
        </w:rPr>
        <w:t>1.企业生产标准</w:t>
      </w:r>
    </w:p>
    <w:p w14:paraId="6689B935">
      <w:pPr>
        <w:spacing w:before="0" w:after="0" w:line="384" w:lineRule="auto"/>
        <w:ind w:firstLine="420"/>
      </w:pPr>
      <w:r>
        <w:rPr>
          <w:rFonts w:ascii="仿宋" w:hAnsi="仿宋" w:eastAsia="仿宋"/>
          <w:b w:val="0"/>
          <w:sz w:val="24"/>
        </w:rPr>
        <w:t>建筑材料检测企业的标准体系由四个层次构成：产品标准规定材料应当达到的技术指标（如《通用硅酸盐水泥》《建设用砂》），是判定合格的直接依据；方法标准规定试验设备、步骤、环境条件和结果计算方式（如《水泥胶砂强度检验方法（ISO法）》），是现场操作的直接依据；检验评定与验收标准规定批量产品的合格判定规则和工程实体验收要求（如《混凝土强度检验评定标准》）；机构管理体系文件规定收样、流转、报告、审核、归档等要求，是数据可追溯的制度保障。四个层次缺一不可，教学中若只讲前三层、不讲第四层，学生到岗后连原始记录怎么填都要从头学起。与核心课程直接对应的主要现行标准见表2。</w:t>
      </w:r>
    </w:p>
    <w:p w14:paraId="0F495900">
      <w:pPr>
        <w:spacing w:before="120" w:after="40" w:line="288" w:lineRule="auto"/>
        <w:ind w:firstLine="0"/>
        <w:jc w:val="center"/>
      </w:pPr>
      <w:r>
        <w:rPr>
          <w:rFonts w:ascii="仿宋" w:hAnsi="仿宋" w:eastAsia="仿宋"/>
          <w:b/>
          <w:sz w:val="21"/>
        </w:rPr>
        <w:t>表2　建筑材料检测主要现行标准及教学用途</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134"/>
        <w:gridCol w:w="4309"/>
        <w:gridCol w:w="2948"/>
      </w:tblGrid>
      <w:tr w14:paraId="4F3F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7" w:type="dxa"/>
            <w:vAlign w:val="center"/>
          </w:tcPr>
          <w:p w14:paraId="3D8B522D">
            <w:pPr>
              <w:spacing w:before="20" w:after="20" w:line="240" w:lineRule="auto"/>
              <w:ind w:firstLine="0"/>
              <w:jc w:val="center"/>
            </w:pPr>
            <w:r>
              <w:rPr>
                <w:rFonts w:ascii="仿宋" w:hAnsi="仿宋" w:eastAsia="仿宋"/>
                <w:b/>
                <w:sz w:val="16"/>
              </w:rPr>
              <w:t>序号</w:t>
            </w:r>
          </w:p>
        </w:tc>
        <w:tc>
          <w:tcPr>
            <w:tcW w:w="1134" w:type="dxa"/>
            <w:vAlign w:val="center"/>
          </w:tcPr>
          <w:p w14:paraId="716D6007">
            <w:pPr>
              <w:spacing w:before="20" w:after="20" w:line="240" w:lineRule="auto"/>
              <w:ind w:firstLine="0"/>
              <w:jc w:val="center"/>
            </w:pPr>
            <w:r>
              <w:rPr>
                <w:rFonts w:ascii="仿宋" w:hAnsi="仿宋" w:eastAsia="仿宋"/>
                <w:b/>
                <w:sz w:val="16"/>
              </w:rPr>
              <w:t>标准类别</w:t>
            </w:r>
          </w:p>
        </w:tc>
        <w:tc>
          <w:tcPr>
            <w:tcW w:w="4309" w:type="dxa"/>
            <w:vAlign w:val="center"/>
          </w:tcPr>
          <w:p w14:paraId="5417FCF6">
            <w:pPr>
              <w:spacing w:before="20" w:after="20" w:line="240" w:lineRule="auto"/>
              <w:ind w:firstLine="0"/>
              <w:jc w:val="center"/>
            </w:pPr>
            <w:r>
              <w:rPr>
                <w:rFonts w:ascii="仿宋" w:hAnsi="仿宋" w:eastAsia="仿宋"/>
                <w:b/>
                <w:sz w:val="16"/>
              </w:rPr>
              <w:t>标准名称与编号</w:t>
            </w:r>
          </w:p>
        </w:tc>
        <w:tc>
          <w:tcPr>
            <w:tcW w:w="2948" w:type="dxa"/>
            <w:vAlign w:val="center"/>
          </w:tcPr>
          <w:p w14:paraId="36F85600">
            <w:pPr>
              <w:spacing w:before="20" w:after="20" w:line="240" w:lineRule="auto"/>
              <w:ind w:firstLine="0"/>
              <w:jc w:val="center"/>
            </w:pPr>
            <w:r>
              <w:rPr>
                <w:rFonts w:ascii="仿宋" w:hAnsi="仿宋" w:eastAsia="仿宋"/>
                <w:b/>
                <w:sz w:val="16"/>
              </w:rPr>
              <w:t>教学用途</w:t>
            </w:r>
          </w:p>
        </w:tc>
      </w:tr>
      <w:tr w14:paraId="14FE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BE684E9">
            <w:pPr>
              <w:spacing w:before="20" w:after="20" w:line="240" w:lineRule="auto"/>
              <w:ind w:firstLine="0"/>
              <w:jc w:val="center"/>
            </w:pPr>
            <w:r>
              <w:rPr>
                <w:rFonts w:ascii="仿宋" w:hAnsi="仿宋" w:eastAsia="仿宋"/>
                <w:b w:val="0"/>
                <w:sz w:val="16"/>
              </w:rPr>
              <w:t>1</w:t>
            </w:r>
          </w:p>
        </w:tc>
        <w:tc>
          <w:tcPr>
            <w:tcW w:w="1134" w:type="dxa"/>
            <w:vAlign w:val="center"/>
          </w:tcPr>
          <w:p w14:paraId="6ADC5634">
            <w:pPr>
              <w:spacing w:before="20" w:after="20" w:line="240" w:lineRule="auto"/>
              <w:ind w:firstLine="0"/>
              <w:jc w:val="left"/>
            </w:pPr>
            <w:r>
              <w:rPr>
                <w:rFonts w:ascii="仿宋" w:hAnsi="仿宋" w:eastAsia="仿宋"/>
                <w:b w:val="0"/>
                <w:sz w:val="16"/>
              </w:rPr>
              <w:t>产品标准</w:t>
            </w:r>
          </w:p>
        </w:tc>
        <w:tc>
          <w:tcPr>
            <w:tcW w:w="4309" w:type="dxa"/>
            <w:vAlign w:val="center"/>
          </w:tcPr>
          <w:p w14:paraId="308BD92B">
            <w:pPr>
              <w:spacing w:before="20" w:after="20" w:line="240" w:lineRule="auto"/>
              <w:ind w:firstLine="0"/>
              <w:jc w:val="left"/>
            </w:pPr>
            <w:r>
              <w:rPr>
                <w:rFonts w:ascii="仿宋" w:hAnsi="仿宋" w:eastAsia="仿宋"/>
                <w:b w:val="0"/>
                <w:sz w:val="16"/>
              </w:rPr>
              <w:t>GB 175—2023《通用硅酸盐水泥》</w:t>
            </w:r>
          </w:p>
        </w:tc>
        <w:tc>
          <w:tcPr>
            <w:tcW w:w="2948" w:type="dxa"/>
            <w:vAlign w:val="center"/>
          </w:tcPr>
          <w:p w14:paraId="62FEDAFF">
            <w:pPr>
              <w:spacing w:before="20" w:after="20" w:line="240" w:lineRule="auto"/>
              <w:ind w:firstLine="0"/>
              <w:jc w:val="left"/>
            </w:pPr>
            <w:r>
              <w:rPr>
                <w:rFonts w:ascii="仿宋" w:hAnsi="仿宋" w:eastAsia="仿宋"/>
                <w:b w:val="0"/>
                <w:sz w:val="16"/>
              </w:rPr>
              <w:t>水泥进场验收与合格判定</w:t>
            </w:r>
          </w:p>
        </w:tc>
      </w:tr>
      <w:tr w14:paraId="2FAFB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CCD09B">
            <w:pPr>
              <w:spacing w:before="20" w:after="20" w:line="240" w:lineRule="auto"/>
              <w:ind w:firstLine="0"/>
              <w:jc w:val="center"/>
            </w:pPr>
            <w:r>
              <w:rPr>
                <w:rFonts w:ascii="仿宋" w:hAnsi="仿宋" w:eastAsia="仿宋"/>
                <w:b w:val="0"/>
                <w:sz w:val="16"/>
              </w:rPr>
              <w:t>2</w:t>
            </w:r>
          </w:p>
        </w:tc>
        <w:tc>
          <w:tcPr>
            <w:tcW w:w="1134" w:type="dxa"/>
            <w:vAlign w:val="center"/>
          </w:tcPr>
          <w:p w14:paraId="327C3828">
            <w:pPr>
              <w:spacing w:before="20" w:after="20" w:line="240" w:lineRule="auto"/>
              <w:ind w:firstLine="0"/>
              <w:jc w:val="left"/>
            </w:pPr>
            <w:r>
              <w:rPr>
                <w:rFonts w:ascii="仿宋" w:hAnsi="仿宋" w:eastAsia="仿宋"/>
                <w:b w:val="0"/>
                <w:sz w:val="16"/>
              </w:rPr>
              <w:t>产品标准</w:t>
            </w:r>
          </w:p>
        </w:tc>
        <w:tc>
          <w:tcPr>
            <w:tcW w:w="4309" w:type="dxa"/>
            <w:vAlign w:val="center"/>
          </w:tcPr>
          <w:p w14:paraId="4F1652D8">
            <w:pPr>
              <w:spacing w:before="20" w:after="20" w:line="240" w:lineRule="auto"/>
              <w:ind w:firstLine="0"/>
              <w:jc w:val="left"/>
            </w:pPr>
            <w:r>
              <w:rPr>
                <w:rFonts w:ascii="仿宋" w:hAnsi="仿宋" w:eastAsia="仿宋"/>
                <w:b w:val="0"/>
                <w:sz w:val="16"/>
              </w:rPr>
              <w:t>GB/T 14684—2022《建设用砂》</w:t>
            </w:r>
          </w:p>
        </w:tc>
        <w:tc>
          <w:tcPr>
            <w:tcW w:w="2948" w:type="dxa"/>
            <w:vAlign w:val="center"/>
          </w:tcPr>
          <w:p w14:paraId="6B95187A">
            <w:pPr>
              <w:spacing w:before="20" w:after="20" w:line="240" w:lineRule="auto"/>
              <w:ind w:firstLine="0"/>
              <w:jc w:val="left"/>
            </w:pPr>
            <w:r>
              <w:rPr>
                <w:rFonts w:ascii="仿宋" w:hAnsi="仿宋" w:eastAsia="仿宋"/>
                <w:b w:val="0"/>
                <w:sz w:val="16"/>
              </w:rPr>
              <w:t>骨料级配、含泥量与泥块含量检验</w:t>
            </w:r>
          </w:p>
        </w:tc>
      </w:tr>
      <w:tr w14:paraId="32D3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EF9CB37">
            <w:pPr>
              <w:spacing w:before="20" w:after="20" w:line="240" w:lineRule="auto"/>
              <w:ind w:firstLine="0"/>
              <w:jc w:val="center"/>
            </w:pPr>
            <w:r>
              <w:rPr>
                <w:rFonts w:ascii="仿宋" w:hAnsi="仿宋" w:eastAsia="仿宋"/>
                <w:b w:val="0"/>
                <w:sz w:val="16"/>
              </w:rPr>
              <w:t>3</w:t>
            </w:r>
          </w:p>
        </w:tc>
        <w:tc>
          <w:tcPr>
            <w:tcW w:w="1134" w:type="dxa"/>
            <w:vAlign w:val="center"/>
          </w:tcPr>
          <w:p w14:paraId="34D1EA7A">
            <w:pPr>
              <w:spacing w:before="20" w:after="20" w:line="240" w:lineRule="auto"/>
              <w:ind w:firstLine="0"/>
              <w:jc w:val="left"/>
            </w:pPr>
            <w:r>
              <w:rPr>
                <w:rFonts w:ascii="仿宋" w:hAnsi="仿宋" w:eastAsia="仿宋"/>
                <w:b w:val="0"/>
                <w:sz w:val="16"/>
              </w:rPr>
              <w:t>产品标准</w:t>
            </w:r>
          </w:p>
        </w:tc>
        <w:tc>
          <w:tcPr>
            <w:tcW w:w="4309" w:type="dxa"/>
            <w:vAlign w:val="center"/>
          </w:tcPr>
          <w:p w14:paraId="3D218B47">
            <w:pPr>
              <w:spacing w:before="20" w:after="20" w:line="240" w:lineRule="auto"/>
              <w:ind w:firstLine="0"/>
              <w:jc w:val="left"/>
            </w:pPr>
            <w:r>
              <w:rPr>
                <w:rFonts w:ascii="仿宋" w:hAnsi="仿宋" w:eastAsia="仿宋"/>
                <w:b w:val="0"/>
                <w:sz w:val="16"/>
              </w:rPr>
              <w:t>GB/T 28627—2023《抹灰石膏》</w:t>
            </w:r>
          </w:p>
        </w:tc>
        <w:tc>
          <w:tcPr>
            <w:tcW w:w="2948" w:type="dxa"/>
            <w:vAlign w:val="center"/>
          </w:tcPr>
          <w:p w14:paraId="4D562257">
            <w:pPr>
              <w:spacing w:before="20" w:after="20" w:line="240" w:lineRule="auto"/>
              <w:ind w:firstLine="0"/>
              <w:jc w:val="left"/>
            </w:pPr>
            <w:r>
              <w:rPr>
                <w:rFonts w:ascii="仿宋" w:hAnsi="仿宋" w:eastAsia="仿宋"/>
                <w:b w:val="0"/>
                <w:sz w:val="16"/>
              </w:rPr>
              <w:t>装饰装修材料与砂浆性能检验</w:t>
            </w:r>
          </w:p>
        </w:tc>
      </w:tr>
      <w:tr w14:paraId="3B1C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6EDAE21">
            <w:pPr>
              <w:spacing w:before="20" w:after="20" w:line="240" w:lineRule="auto"/>
              <w:ind w:firstLine="0"/>
              <w:jc w:val="center"/>
            </w:pPr>
            <w:r>
              <w:rPr>
                <w:rFonts w:ascii="仿宋" w:hAnsi="仿宋" w:eastAsia="仿宋"/>
                <w:b w:val="0"/>
                <w:sz w:val="16"/>
              </w:rPr>
              <w:t>4</w:t>
            </w:r>
          </w:p>
        </w:tc>
        <w:tc>
          <w:tcPr>
            <w:tcW w:w="1134" w:type="dxa"/>
            <w:vAlign w:val="center"/>
          </w:tcPr>
          <w:p w14:paraId="608B5BFD">
            <w:pPr>
              <w:spacing w:before="20" w:after="20" w:line="240" w:lineRule="auto"/>
              <w:ind w:firstLine="0"/>
              <w:jc w:val="left"/>
            </w:pPr>
            <w:r>
              <w:rPr>
                <w:rFonts w:ascii="仿宋" w:hAnsi="仿宋" w:eastAsia="仿宋"/>
                <w:b w:val="0"/>
                <w:sz w:val="16"/>
              </w:rPr>
              <w:t>方法标准</w:t>
            </w:r>
          </w:p>
        </w:tc>
        <w:tc>
          <w:tcPr>
            <w:tcW w:w="4309" w:type="dxa"/>
            <w:vAlign w:val="center"/>
          </w:tcPr>
          <w:p w14:paraId="41A139A8">
            <w:pPr>
              <w:spacing w:before="20" w:after="20" w:line="240" w:lineRule="auto"/>
              <w:ind w:firstLine="0"/>
              <w:jc w:val="left"/>
            </w:pPr>
            <w:r>
              <w:rPr>
                <w:rFonts w:ascii="仿宋" w:hAnsi="仿宋" w:eastAsia="仿宋"/>
                <w:b w:val="0"/>
                <w:sz w:val="16"/>
              </w:rPr>
              <w:t>GB/T 1346—2011《水泥标准稠度用水量、凝结时间、安定性检验方法》</w:t>
            </w:r>
          </w:p>
        </w:tc>
        <w:tc>
          <w:tcPr>
            <w:tcW w:w="2948" w:type="dxa"/>
            <w:vAlign w:val="center"/>
          </w:tcPr>
          <w:p w14:paraId="5AEF671C">
            <w:pPr>
              <w:spacing w:before="20" w:after="20" w:line="240" w:lineRule="auto"/>
              <w:ind w:firstLine="0"/>
              <w:jc w:val="left"/>
            </w:pPr>
            <w:r>
              <w:rPr>
                <w:rFonts w:ascii="仿宋" w:hAnsi="仿宋" w:eastAsia="仿宋"/>
                <w:b w:val="0"/>
                <w:sz w:val="16"/>
              </w:rPr>
              <w:t>水泥物理性能检测</w:t>
            </w:r>
          </w:p>
        </w:tc>
      </w:tr>
      <w:tr w14:paraId="01E1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B8A9044">
            <w:pPr>
              <w:spacing w:before="20" w:after="20" w:line="240" w:lineRule="auto"/>
              <w:ind w:firstLine="0"/>
              <w:jc w:val="center"/>
            </w:pPr>
            <w:r>
              <w:rPr>
                <w:rFonts w:ascii="仿宋" w:hAnsi="仿宋" w:eastAsia="仿宋"/>
                <w:b w:val="0"/>
                <w:sz w:val="16"/>
              </w:rPr>
              <w:t>5</w:t>
            </w:r>
          </w:p>
        </w:tc>
        <w:tc>
          <w:tcPr>
            <w:tcW w:w="1134" w:type="dxa"/>
            <w:vAlign w:val="center"/>
          </w:tcPr>
          <w:p w14:paraId="6E51FD0B">
            <w:pPr>
              <w:spacing w:before="20" w:after="20" w:line="240" w:lineRule="auto"/>
              <w:ind w:firstLine="0"/>
              <w:jc w:val="left"/>
            </w:pPr>
            <w:r>
              <w:rPr>
                <w:rFonts w:ascii="仿宋" w:hAnsi="仿宋" w:eastAsia="仿宋"/>
                <w:b w:val="0"/>
                <w:sz w:val="16"/>
              </w:rPr>
              <w:t>方法标准</w:t>
            </w:r>
          </w:p>
        </w:tc>
        <w:tc>
          <w:tcPr>
            <w:tcW w:w="4309" w:type="dxa"/>
            <w:vAlign w:val="center"/>
          </w:tcPr>
          <w:p w14:paraId="503D5A2A">
            <w:pPr>
              <w:spacing w:before="20" w:after="20" w:line="240" w:lineRule="auto"/>
              <w:ind w:firstLine="0"/>
              <w:jc w:val="left"/>
            </w:pPr>
            <w:r>
              <w:rPr>
                <w:rFonts w:ascii="仿宋" w:hAnsi="仿宋" w:eastAsia="仿宋"/>
                <w:b w:val="0"/>
                <w:sz w:val="16"/>
              </w:rPr>
              <w:t>GB/T 17671—2021《水泥胶砂强度检验方法（ISO法）》</w:t>
            </w:r>
          </w:p>
        </w:tc>
        <w:tc>
          <w:tcPr>
            <w:tcW w:w="2948" w:type="dxa"/>
            <w:vAlign w:val="center"/>
          </w:tcPr>
          <w:p w14:paraId="698EB982">
            <w:pPr>
              <w:spacing w:before="20" w:after="20" w:line="240" w:lineRule="auto"/>
              <w:ind w:firstLine="0"/>
              <w:jc w:val="left"/>
            </w:pPr>
            <w:r>
              <w:rPr>
                <w:rFonts w:ascii="仿宋" w:hAnsi="仿宋" w:eastAsia="仿宋"/>
                <w:b w:val="0"/>
                <w:sz w:val="16"/>
              </w:rPr>
              <w:t>水泥胶砂强度试验</w:t>
            </w:r>
          </w:p>
        </w:tc>
      </w:tr>
      <w:tr w14:paraId="77E79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624F286">
            <w:pPr>
              <w:spacing w:before="20" w:after="20" w:line="240" w:lineRule="auto"/>
              <w:ind w:firstLine="0"/>
              <w:jc w:val="center"/>
            </w:pPr>
            <w:r>
              <w:rPr>
                <w:rFonts w:ascii="仿宋" w:hAnsi="仿宋" w:eastAsia="仿宋"/>
                <w:b w:val="0"/>
                <w:sz w:val="16"/>
              </w:rPr>
              <w:t>6</w:t>
            </w:r>
          </w:p>
        </w:tc>
        <w:tc>
          <w:tcPr>
            <w:tcW w:w="1134" w:type="dxa"/>
            <w:vAlign w:val="center"/>
          </w:tcPr>
          <w:p w14:paraId="561F7261">
            <w:pPr>
              <w:spacing w:before="20" w:after="20" w:line="240" w:lineRule="auto"/>
              <w:ind w:firstLine="0"/>
              <w:jc w:val="left"/>
            </w:pPr>
            <w:r>
              <w:rPr>
                <w:rFonts w:ascii="仿宋" w:hAnsi="仿宋" w:eastAsia="仿宋"/>
                <w:b w:val="0"/>
                <w:sz w:val="16"/>
              </w:rPr>
              <w:t>方法标准</w:t>
            </w:r>
          </w:p>
        </w:tc>
        <w:tc>
          <w:tcPr>
            <w:tcW w:w="4309" w:type="dxa"/>
            <w:vAlign w:val="center"/>
          </w:tcPr>
          <w:p w14:paraId="1FEBB2C6">
            <w:pPr>
              <w:spacing w:before="20" w:after="20" w:line="240" w:lineRule="auto"/>
              <w:ind w:firstLine="0"/>
              <w:jc w:val="left"/>
            </w:pPr>
            <w:r>
              <w:rPr>
                <w:rFonts w:ascii="仿宋" w:hAnsi="仿宋" w:eastAsia="仿宋"/>
                <w:b w:val="0"/>
                <w:sz w:val="16"/>
              </w:rPr>
              <w:t>GB/T 50081—2019《混凝土物理力学性能试验方法标准》</w:t>
            </w:r>
          </w:p>
        </w:tc>
        <w:tc>
          <w:tcPr>
            <w:tcW w:w="2948" w:type="dxa"/>
            <w:vAlign w:val="center"/>
          </w:tcPr>
          <w:p w14:paraId="230A5412">
            <w:pPr>
              <w:spacing w:before="20" w:after="20" w:line="240" w:lineRule="auto"/>
              <w:ind w:firstLine="0"/>
              <w:jc w:val="left"/>
            </w:pPr>
            <w:r>
              <w:rPr>
                <w:rFonts w:ascii="仿宋" w:hAnsi="仿宋" w:eastAsia="仿宋"/>
                <w:b w:val="0"/>
                <w:sz w:val="16"/>
              </w:rPr>
              <w:t>混凝土抗压、抗折试验</w:t>
            </w:r>
          </w:p>
        </w:tc>
      </w:tr>
      <w:tr w14:paraId="5B3B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17D667">
            <w:pPr>
              <w:spacing w:before="20" w:after="20" w:line="240" w:lineRule="auto"/>
              <w:ind w:firstLine="0"/>
              <w:jc w:val="center"/>
            </w:pPr>
            <w:r>
              <w:rPr>
                <w:rFonts w:ascii="仿宋" w:hAnsi="仿宋" w:eastAsia="仿宋"/>
                <w:b w:val="0"/>
                <w:sz w:val="16"/>
              </w:rPr>
              <w:t>7</w:t>
            </w:r>
          </w:p>
        </w:tc>
        <w:tc>
          <w:tcPr>
            <w:tcW w:w="1134" w:type="dxa"/>
            <w:vAlign w:val="center"/>
          </w:tcPr>
          <w:p w14:paraId="6CF53EE2">
            <w:pPr>
              <w:spacing w:before="20" w:after="20" w:line="240" w:lineRule="auto"/>
              <w:ind w:firstLine="0"/>
              <w:jc w:val="left"/>
            </w:pPr>
            <w:r>
              <w:rPr>
                <w:rFonts w:ascii="仿宋" w:hAnsi="仿宋" w:eastAsia="仿宋"/>
                <w:b w:val="0"/>
                <w:sz w:val="16"/>
              </w:rPr>
              <w:t>评定标准</w:t>
            </w:r>
          </w:p>
        </w:tc>
        <w:tc>
          <w:tcPr>
            <w:tcW w:w="4309" w:type="dxa"/>
            <w:vAlign w:val="center"/>
          </w:tcPr>
          <w:p w14:paraId="712B7B31">
            <w:pPr>
              <w:spacing w:before="20" w:after="20" w:line="240" w:lineRule="auto"/>
              <w:ind w:firstLine="0"/>
              <w:jc w:val="left"/>
            </w:pPr>
            <w:r>
              <w:rPr>
                <w:rFonts w:ascii="仿宋" w:hAnsi="仿宋" w:eastAsia="仿宋"/>
                <w:b w:val="0"/>
                <w:sz w:val="16"/>
              </w:rPr>
              <w:t>GB/T 50107—2010《混凝土强度检验评定标准》</w:t>
            </w:r>
          </w:p>
        </w:tc>
        <w:tc>
          <w:tcPr>
            <w:tcW w:w="2948" w:type="dxa"/>
            <w:vAlign w:val="center"/>
          </w:tcPr>
          <w:p w14:paraId="623AC68E">
            <w:pPr>
              <w:spacing w:before="20" w:after="20" w:line="240" w:lineRule="auto"/>
              <w:ind w:firstLine="0"/>
              <w:jc w:val="left"/>
            </w:pPr>
            <w:r>
              <w:rPr>
                <w:rFonts w:ascii="仿宋" w:hAnsi="仿宋" w:eastAsia="仿宋"/>
                <w:b w:val="0"/>
                <w:sz w:val="16"/>
              </w:rPr>
              <w:t>强度代表值计算与合格判定</w:t>
            </w:r>
          </w:p>
        </w:tc>
      </w:tr>
      <w:tr w14:paraId="1DB4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8803877">
            <w:pPr>
              <w:spacing w:before="20" w:after="20" w:line="240" w:lineRule="auto"/>
              <w:ind w:firstLine="0"/>
              <w:jc w:val="center"/>
            </w:pPr>
            <w:r>
              <w:rPr>
                <w:rFonts w:ascii="仿宋" w:hAnsi="仿宋" w:eastAsia="仿宋"/>
                <w:b w:val="0"/>
                <w:sz w:val="16"/>
              </w:rPr>
              <w:t>8</w:t>
            </w:r>
          </w:p>
        </w:tc>
        <w:tc>
          <w:tcPr>
            <w:tcW w:w="1134" w:type="dxa"/>
            <w:vAlign w:val="center"/>
          </w:tcPr>
          <w:p w14:paraId="300C9F1B">
            <w:pPr>
              <w:spacing w:before="20" w:after="20" w:line="240" w:lineRule="auto"/>
              <w:ind w:firstLine="0"/>
              <w:jc w:val="left"/>
            </w:pPr>
            <w:r>
              <w:rPr>
                <w:rFonts w:ascii="仿宋" w:hAnsi="仿宋" w:eastAsia="仿宋"/>
                <w:b w:val="0"/>
                <w:sz w:val="16"/>
              </w:rPr>
              <w:t>验收标准</w:t>
            </w:r>
          </w:p>
        </w:tc>
        <w:tc>
          <w:tcPr>
            <w:tcW w:w="4309" w:type="dxa"/>
            <w:vAlign w:val="center"/>
          </w:tcPr>
          <w:p w14:paraId="000CC002">
            <w:pPr>
              <w:spacing w:before="20" w:after="20" w:line="240" w:lineRule="auto"/>
              <w:ind w:firstLine="0"/>
              <w:jc w:val="left"/>
            </w:pPr>
            <w:r>
              <w:rPr>
                <w:rFonts w:ascii="仿宋" w:hAnsi="仿宋" w:eastAsia="仿宋"/>
                <w:b w:val="0"/>
                <w:sz w:val="16"/>
              </w:rPr>
              <w:t>GB 50204—2015《混凝土结构工程施工质量验收规范》</w:t>
            </w:r>
          </w:p>
        </w:tc>
        <w:tc>
          <w:tcPr>
            <w:tcW w:w="2948" w:type="dxa"/>
            <w:vAlign w:val="center"/>
          </w:tcPr>
          <w:p w14:paraId="412CA7E8">
            <w:pPr>
              <w:spacing w:before="20" w:after="20" w:line="240" w:lineRule="auto"/>
              <w:ind w:firstLine="0"/>
              <w:jc w:val="left"/>
            </w:pPr>
            <w:r>
              <w:rPr>
                <w:rFonts w:ascii="仿宋" w:hAnsi="仿宋" w:eastAsia="仿宋"/>
                <w:b w:val="0"/>
                <w:sz w:val="16"/>
              </w:rPr>
              <w:t>结构实体检验与验收</w:t>
            </w:r>
          </w:p>
        </w:tc>
      </w:tr>
      <w:tr w14:paraId="1669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43CDC4E">
            <w:pPr>
              <w:spacing w:before="20" w:after="20" w:line="240" w:lineRule="auto"/>
              <w:ind w:firstLine="0"/>
              <w:jc w:val="center"/>
            </w:pPr>
            <w:r>
              <w:rPr>
                <w:rFonts w:ascii="仿宋" w:hAnsi="仿宋" w:eastAsia="仿宋"/>
                <w:b w:val="0"/>
                <w:sz w:val="16"/>
              </w:rPr>
              <w:t>9</w:t>
            </w:r>
          </w:p>
        </w:tc>
        <w:tc>
          <w:tcPr>
            <w:tcW w:w="1134" w:type="dxa"/>
            <w:vAlign w:val="center"/>
          </w:tcPr>
          <w:p w14:paraId="3A0C8111">
            <w:pPr>
              <w:spacing w:before="20" w:after="20" w:line="240" w:lineRule="auto"/>
              <w:ind w:firstLine="0"/>
              <w:jc w:val="left"/>
            </w:pPr>
            <w:r>
              <w:rPr>
                <w:rFonts w:ascii="仿宋" w:hAnsi="仿宋" w:eastAsia="仿宋"/>
                <w:b w:val="0"/>
                <w:sz w:val="16"/>
              </w:rPr>
              <w:t>节能检测</w:t>
            </w:r>
          </w:p>
        </w:tc>
        <w:tc>
          <w:tcPr>
            <w:tcW w:w="4309" w:type="dxa"/>
            <w:vAlign w:val="center"/>
          </w:tcPr>
          <w:p w14:paraId="2199FE99">
            <w:pPr>
              <w:spacing w:before="20" w:after="20" w:line="240" w:lineRule="auto"/>
              <w:ind w:firstLine="0"/>
              <w:jc w:val="left"/>
            </w:pPr>
            <w:r>
              <w:rPr>
                <w:rFonts w:ascii="仿宋" w:hAnsi="仿宋" w:eastAsia="仿宋"/>
                <w:b w:val="0"/>
                <w:sz w:val="16"/>
              </w:rPr>
              <w:t>GB 50411—2019《建筑节能工程施工质量验收标准》</w:t>
            </w:r>
          </w:p>
        </w:tc>
        <w:tc>
          <w:tcPr>
            <w:tcW w:w="2948" w:type="dxa"/>
            <w:vAlign w:val="center"/>
          </w:tcPr>
          <w:p w14:paraId="5B9A3102">
            <w:pPr>
              <w:spacing w:before="20" w:after="20" w:line="240" w:lineRule="auto"/>
              <w:ind w:firstLine="0"/>
              <w:jc w:val="left"/>
            </w:pPr>
            <w:r>
              <w:rPr>
                <w:rFonts w:ascii="仿宋" w:hAnsi="仿宋" w:eastAsia="仿宋"/>
                <w:b w:val="0"/>
                <w:sz w:val="16"/>
              </w:rPr>
              <w:t>保温材料与节能工程检测</w:t>
            </w:r>
          </w:p>
        </w:tc>
      </w:tr>
      <w:tr w14:paraId="0BF7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B33285D">
            <w:pPr>
              <w:spacing w:before="20" w:after="20" w:line="240" w:lineRule="auto"/>
              <w:ind w:firstLine="0"/>
              <w:jc w:val="center"/>
            </w:pPr>
            <w:r>
              <w:rPr>
                <w:rFonts w:ascii="仿宋" w:hAnsi="仿宋" w:eastAsia="仿宋"/>
                <w:b w:val="0"/>
                <w:sz w:val="16"/>
              </w:rPr>
              <w:t>10</w:t>
            </w:r>
          </w:p>
        </w:tc>
        <w:tc>
          <w:tcPr>
            <w:tcW w:w="1134" w:type="dxa"/>
            <w:vAlign w:val="center"/>
          </w:tcPr>
          <w:p w14:paraId="4CF293C3">
            <w:pPr>
              <w:spacing w:before="20" w:after="20" w:line="240" w:lineRule="auto"/>
              <w:ind w:firstLine="0"/>
              <w:jc w:val="left"/>
            </w:pPr>
            <w:r>
              <w:rPr>
                <w:rFonts w:ascii="仿宋" w:hAnsi="仿宋" w:eastAsia="仿宋"/>
                <w:b w:val="0"/>
                <w:sz w:val="16"/>
              </w:rPr>
              <w:t>环境检测</w:t>
            </w:r>
          </w:p>
        </w:tc>
        <w:tc>
          <w:tcPr>
            <w:tcW w:w="4309" w:type="dxa"/>
            <w:vAlign w:val="center"/>
          </w:tcPr>
          <w:p w14:paraId="2945BB21">
            <w:pPr>
              <w:spacing w:before="20" w:after="20" w:line="240" w:lineRule="auto"/>
              <w:ind w:firstLine="0"/>
              <w:jc w:val="left"/>
            </w:pPr>
            <w:r>
              <w:rPr>
                <w:rFonts w:ascii="仿宋" w:hAnsi="仿宋" w:eastAsia="仿宋"/>
                <w:b w:val="0"/>
                <w:sz w:val="16"/>
              </w:rPr>
              <w:t>GB 50325—2020《民用建筑工程室内环境污染控制标准》</w:t>
            </w:r>
          </w:p>
        </w:tc>
        <w:tc>
          <w:tcPr>
            <w:tcW w:w="2948" w:type="dxa"/>
            <w:vAlign w:val="center"/>
          </w:tcPr>
          <w:p w14:paraId="36CF6B94">
            <w:pPr>
              <w:spacing w:before="20" w:after="20" w:line="240" w:lineRule="auto"/>
              <w:ind w:firstLine="0"/>
              <w:jc w:val="left"/>
            </w:pPr>
            <w:r>
              <w:rPr>
                <w:rFonts w:ascii="仿宋" w:hAnsi="仿宋" w:eastAsia="仿宋"/>
                <w:b w:val="0"/>
                <w:sz w:val="16"/>
              </w:rPr>
              <w:t>室内环境污染物检测</w:t>
            </w:r>
          </w:p>
        </w:tc>
      </w:tr>
      <w:tr w14:paraId="2BA7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E7F1734">
            <w:pPr>
              <w:spacing w:before="20" w:after="20" w:line="240" w:lineRule="auto"/>
              <w:ind w:firstLine="0"/>
              <w:jc w:val="center"/>
            </w:pPr>
            <w:r>
              <w:rPr>
                <w:rFonts w:ascii="仿宋" w:hAnsi="仿宋" w:eastAsia="仿宋"/>
                <w:b w:val="0"/>
                <w:sz w:val="16"/>
              </w:rPr>
              <w:t>11</w:t>
            </w:r>
          </w:p>
        </w:tc>
        <w:tc>
          <w:tcPr>
            <w:tcW w:w="1134" w:type="dxa"/>
            <w:vAlign w:val="center"/>
          </w:tcPr>
          <w:p w14:paraId="59E79611">
            <w:pPr>
              <w:spacing w:before="20" w:after="20" w:line="240" w:lineRule="auto"/>
              <w:ind w:firstLine="0"/>
              <w:jc w:val="left"/>
            </w:pPr>
            <w:r>
              <w:rPr>
                <w:rFonts w:ascii="仿宋" w:hAnsi="仿宋" w:eastAsia="仿宋"/>
                <w:b w:val="0"/>
                <w:sz w:val="16"/>
              </w:rPr>
              <w:t>管理体系</w:t>
            </w:r>
          </w:p>
        </w:tc>
        <w:tc>
          <w:tcPr>
            <w:tcW w:w="4309" w:type="dxa"/>
            <w:vAlign w:val="center"/>
          </w:tcPr>
          <w:p w14:paraId="41CA04B2">
            <w:pPr>
              <w:spacing w:before="20" w:after="20" w:line="240" w:lineRule="auto"/>
              <w:ind w:firstLine="0"/>
              <w:jc w:val="left"/>
            </w:pPr>
            <w:r>
              <w:rPr>
                <w:rFonts w:ascii="仿宋" w:hAnsi="仿宋" w:eastAsia="仿宋"/>
                <w:b w:val="0"/>
                <w:sz w:val="16"/>
              </w:rPr>
              <w:t>GB/T 27025—2019《检测和校准实验室能力的通用要求》</w:t>
            </w:r>
          </w:p>
        </w:tc>
        <w:tc>
          <w:tcPr>
            <w:tcW w:w="2948" w:type="dxa"/>
            <w:vAlign w:val="center"/>
          </w:tcPr>
          <w:p w14:paraId="4527DCF3">
            <w:pPr>
              <w:spacing w:before="20" w:after="20" w:line="240" w:lineRule="auto"/>
              <w:ind w:firstLine="0"/>
              <w:jc w:val="left"/>
            </w:pPr>
            <w:r>
              <w:rPr>
                <w:rFonts w:ascii="仿宋" w:hAnsi="仿宋" w:eastAsia="仿宋"/>
                <w:b w:val="0"/>
                <w:sz w:val="16"/>
              </w:rPr>
              <w:t>收样、流转、报告、归档规范</w:t>
            </w:r>
          </w:p>
        </w:tc>
      </w:tr>
    </w:tbl>
    <w:p w14:paraId="3EA0D555">
      <w:pPr>
        <w:spacing w:before="0" w:after="40" w:line="240" w:lineRule="auto"/>
        <w:ind w:firstLine="0"/>
      </w:pPr>
    </w:p>
    <w:p w14:paraId="7BB9A838">
      <w:pPr>
        <w:spacing w:before="120" w:after="40" w:line="336" w:lineRule="auto"/>
        <w:ind w:firstLine="0"/>
      </w:pPr>
      <w:r>
        <w:rPr>
          <w:rFonts w:ascii="黑体" w:hAnsi="黑体" w:eastAsia="黑体"/>
          <w:b/>
          <w:sz w:val="24"/>
        </w:rPr>
        <w:t>2.企业生产流程</w:t>
      </w:r>
    </w:p>
    <w:p w14:paraId="0818F2D2">
      <w:pPr>
        <w:spacing w:before="0" w:after="0" w:line="384" w:lineRule="auto"/>
        <w:ind w:firstLine="420"/>
      </w:pPr>
      <w:r>
        <w:rPr>
          <w:rFonts w:ascii="仿宋" w:hAnsi="仿宋" w:eastAsia="仿宋"/>
          <w:b w:val="0"/>
          <w:sz w:val="24"/>
        </w:rPr>
        <w:t>28家企业执行的检测流程基本一致，均为“委托受理—见证取样—样品流转与标识—样品制备与养护—检测实施—数据处理与判定—报告编制与审核—授权签发—档案归档”9个环节。流程中有两条主线贯穿：一条是“样品线”，从进场、标识、流转到留样，要求样品可追溯；另一条是“责任线”，原始记录由检测人签字、报告由审核人审核、由授权签字人签发，每个环节都对应明确的责任人。这一制度设计把“规范”从道德要求变成了岗位要求。</w:t>
      </w:r>
    </w:p>
    <w:p w14:paraId="5E673496">
      <w:pPr>
        <w:spacing w:before="120" w:after="40" w:line="336" w:lineRule="auto"/>
        <w:ind w:firstLine="0"/>
      </w:pPr>
      <w:r>
        <w:rPr>
          <w:rFonts w:ascii="黑体" w:hAnsi="黑体" w:eastAsia="黑体"/>
          <w:b/>
          <w:sz w:val="24"/>
        </w:rPr>
        <w:t>3.典型岗位工作任务</w:t>
      </w:r>
    </w:p>
    <w:p w14:paraId="078999DE">
      <w:pPr>
        <w:spacing w:before="0" w:after="0" w:line="384" w:lineRule="auto"/>
        <w:ind w:firstLine="420"/>
      </w:pPr>
      <w:r>
        <w:rPr>
          <w:rFonts w:ascii="仿宋" w:hAnsi="仿宋" w:eastAsia="仿宋"/>
          <w:b w:val="0"/>
          <w:sz w:val="24"/>
        </w:rPr>
        <w:t>按检测流程和企业岗位设置，梳理出建筑材料检测岗位典型工作任务36项，按能力递进归纳为收样与委托、取样与制样、物理性能检测、力学性能检测、耐久性能检测、数据处理与报告六类，每类6项，与专业核心课程形成对应关系（见表3）。</w:t>
      </w:r>
    </w:p>
    <w:p w14:paraId="64312FC5">
      <w:pPr>
        <w:spacing w:before="120" w:after="40" w:line="288" w:lineRule="auto"/>
        <w:ind w:firstLine="0"/>
        <w:jc w:val="center"/>
      </w:pPr>
      <w:r>
        <w:rPr>
          <w:rFonts w:ascii="仿宋" w:hAnsi="仿宋" w:eastAsia="仿宋"/>
          <w:b/>
          <w:sz w:val="21"/>
        </w:rPr>
        <w:t>表3　建筑材料检测岗位典型工作任务清单（36项）</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474"/>
        <w:gridCol w:w="4876"/>
        <w:gridCol w:w="2041"/>
      </w:tblGrid>
      <w:tr w14:paraId="0836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7" w:type="dxa"/>
            <w:vAlign w:val="center"/>
          </w:tcPr>
          <w:p w14:paraId="20FE3EA5">
            <w:pPr>
              <w:spacing w:before="20" w:after="20" w:line="240" w:lineRule="auto"/>
              <w:ind w:firstLine="0"/>
              <w:jc w:val="center"/>
            </w:pPr>
            <w:r>
              <w:rPr>
                <w:rFonts w:ascii="仿宋" w:hAnsi="仿宋" w:eastAsia="仿宋"/>
                <w:b/>
                <w:sz w:val="16"/>
              </w:rPr>
              <w:t>序号</w:t>
            </w:r>
          </w:p>
        </w:tc>
        <w:tc>
          <w:tcPr>
            <w:tcW w:w="1474" w:type="dxa"/>
            <w:vAlign w:val="center"/>
          </w:tcPr>
          <w:p w14:paraId="04C5759C">
            <w:pPr>
              <w:spacing w:before="20" w:after="20" w:line="240" w:lineRule="auto"/>
              <w:ind w:firstLine="0"/>
              <w:jc w:val="center"/>
            </w:pPr>
            <w:r>
              <w:rPr>
                <w:rFonts w:ascii="仿宋" w:hAnsi="仿宋" w:eastAsia="仿宋"/>
                <w:b/>
                <w:sz w:val="16"/>
              </w:rPr>
              <w:t>任务类别</w:t>
            </w:r>
          </w:p>
        </w:tc>
        <w:tc>
          <w:tcPr>
            <w:tcW w:w="4876" w:type="dxa"/>
            <w:vAlign w:val="center"/>
          </w:tcPr>
          <w:p w14:paraId="0F38F858">
            <w:pPr>
              <w:spacing w:before="20" w:after="20" w:line="240" w:lineRule="auto"/>
              <w:ind w:firstLine="0"/>
              <w:jc w:val="center"/>
            </w:pPr>
            <w:r>
              <w:rPr>
                <w:rFonts w:ascii="仿宋" w:hAnsi="仿宋" w:eastAsia="仿宋"/>
                <w:b/>
                <w:sz w:val="16"/>
              </w:rPr>
              <w:t>典型工作任务</w:t>
            </w:r>
          </w:p>
        </w:tc>
        <w:tc>
          <w:tcPr>
            <w:tcW w:w="2041" w:type="dxa"/>
            <w:vAlign w:val="center"/>
          </w:tcPr>
          <w:p w14:paraId="6C9BA453">
            <w:pPr>
              <w:spacing w:before="20" w:after="20" w:line="240" w:lineRule="auto"/>
              <w:ind w:firstLine="0"/>
              <w:jc w:val="center"/>
            </w:pPr>
            <w:r>
              <w:rPr>
                <w:rFonts w:ascii="仿宋" w:hAnsi="仿宋" w:eastAsia="仿宋"/>
                <w:b/>
                <w:sz w:val="16"/>
              </w:rPr>
              <w:t>支撑课程</w:t>
            </w:r>
          </w:p>
        </w:tc>
      </w:tr>
      <w:tr w14:paraId="41D8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76E0CD">
            <w:pPr>
              <w:spacing w:before="20" w:after="20" w:line="240" w:lineRule="auto"/>
              <w:ind w:firstLine="0"/>
              <w:jc w:val="center"/>
            </w:pPr>
            <w:r>
              <w:rPr>
                <w:rFonts w:ascii="仿宋" w:hAnsi="仿宋" w:eastAsia="仿宋"/>
                <w:b w:val="0"/>
                <w:sz w:val="16"/>
              </w:rPr>
              <w:t>1</w:t>
            </w:r>
          </w:p>
        </w:tc>
        <w:tc>
          <w:tcPr>
            <w:tcW w:w="1474" w:type="dxa"/>
            <w:vAlign w:val="center"/>
          </w:tcPr>
          <w:p w14:paraId="26945F0B">
            <w:pPr>
              <w:spacing w:before="20" w:after="20" w:line="240" w:lineRule="auto"/>
              <w:ind w:firstLine="0"/>
              <w:jc w:val="left"/>
            </w:pPr>
            <w:r>
              <w:rPr>
                <w:rFonts w:ascii="仿宋" w:hAnsi="仿宋" w:eastAsia="仿宋"/>
                <w:b w:val="0"/>
                <w:sz w:val="16"/>
              </w:rPr>
              <w:t>收样与委托</w:t>
            </w:r>
          </w:p>
        </w:tc>
        <w:tc>
          <w:tcPr>
            <w:tcW w:w="4876" w:type="dxa"/>
            <w:vAlign w:val="center"/>
          </w:tcPr>
          <w:p w14:paraId="6566D9EA">
            <w:pPr>
              <w:spacing w:before="20" w:after="20" w:line="240" w:lineRule="auto"/>
              <w:ind w:firstLine="0"/>
              <w:jc w:val="left"/>
            </w:pPr>
            <w:r>
              <w:rPr>
                <w:rFonts w:ascii="仿宋" w:hAnsi="仿宋" w:eastAsia="仿宋"/>
                <w:b w:val="0"/>
                <w:sz w:val="16"/>
              </w:rPr>
              <w:t>委托信息核对、检测项目确定、依据标准选用、委托单填写、样品编号、任务分派</w:t>
            </w:r>
          </w:p>
        </w:tc>
        <w:tc>
          <w:tcPr>
            <w:tcW w:w="2041" w:type="dxa"/>
            <w:vAlign w:val="center"/>
          </w:tcPr>
          <w:p w14:paraId="1F870EED">
            <w:pPr>
              <w:spacing w:before="20" w:after="20" w:line="240" w:lineRule="auto"/>
              <w:ind w:firstLine="0"/>
              <w:jc w:val="left"/>
            </w:pPr>
            <w:r>
              <w:rPr>
                <w:rFonts w:ascii="仿宋" w:hAnsi="仿宋" w:eastAsia="仿宋"/>
                <w:b w:val="0"/>
                <w:sz w:val="16"/>
              </w:rPr>
              <w:t>建筑材料与检测、实验室认可与管理</w:t>
            </w:r>
          </w:p>
        </w:tc>
      </w:tr>
      <w:tr w14:paraId="4BDB9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E6AEA4B">
            <w:pPr>
              <w:spacing w:before="20" w:after="20" w:line="240" w:lineRule="auto"/>
              <w:ind w:firstLine="0"/>
              <w:jc w:val="center"/>
            </w:pPr>
            <w:r>
              <w:rPr>
                <w:rFonts w:ascii="仿宋" w:hAnsi="仿宋" w:eastAsia="仿宋"/>
                <w:b w:val="0"/>
                <w:sz w:val="16"/>
              </w:rPr>
              <w:t>2</w:t>
            </w:r>
          </w:p>
        </w:tc>
        <w:tc>
          <w:tcPr>
            <w:tcW w:w="1474" w:type="dxa"/>
            <w:vAlign w:val="center"/>
          </w:tcPr>
          <w:p w14:paraId="600263C9">
            <w:pPr>
              <w:spacing w:before="20" w:after="20" w:line="240" w:lineRule="auto"/>
              <w:ind w:firstLine="0"/>
              <w:jc w:val="left"/>
            </w:pPr>
            <w:r>
              <w:rPr>
                <w:rFonts w:ascii="仿宋" w:hAnsi="仿宋" w:eastAsia="仿宋"/>
                <w:b w:val="0"/>
                <w:sz w:val="16"/>
              </w:rPr>
              <w:t>取样与制样</w:t>
            </w:r>
          </w:p>
        </w:tc>
        <w:tc>
          <w:tcPr>
            <w:tcW w:w="4876" w:type="dxa"/>
            <w:vAlign w:val="center"/>
          </w:tcPr>
          <w:p w14:paraId="657B4A11">
            <w:pPr>
              <w:spacing w:before="20" w:after="20" w:line="240" w:lineRule="auto"/>
              <w:ind w:firstLine="0"/>
              <w:jc w:val="left"/>
            </w:pPr>
            <w:r>
              <w:rPr>
                <w:rFonts w:ascii="仿宋" w:hAnsi="仿宋" w:eastAsia="仿宋"/>
                <w:b w:val="0"/>
                <w:sz w:val="16"/>
              </w:rPr>
              <w:t>抽样方案编制、现场取样、见证记录填写、样品标识、缩分制样、样品交接</w:t>
            </w:r>
          </w:p>
        </w:tc>
        <w:tc>
          <w:tcPr>
            <w:tcW w:w="2041" w:type="dxa"/>
            <w:vAlign w:val="center"/>
          </w:tcPr>
          <w:p w14:paraId="0E55AE93">
            <w:pPr>
              <w:spacing w:before="20" w:after="20" w:line="240" w:lineRule="auto"/>
              <w:ind w:firstLine="0"/>
              <w:jc w:val="left"/>
            </w:pPr>
            <w:r>
              <w:rPr>
                <w:rFonts w:ascii="仿宋" w:hAnsi="仿宋" w:eastAsia="仿宋"/>
                <w:b w:val="0"/>
                <w:sz w:val="16"/>
              </w:rPr>
              <w:t>建筑材料与检测</w:t>
            </w:r>
          </w:p>
        </w:tc>
      </w:tr>
      <w:tr w14:paraId="704B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5FBAC76">
            <w:pPr>
              <w:spacing w:before="20" w:after="20" w:line="240" w:lineRule="auto"/>
              <w:ind w:firstLine="0"/>
              <w:jc w:val="center"/>
            </w:pPr>
            <w:r>
              <w:rPr>
                <w:rFonts w:ascii="仿宋" w:hAnsi="仿宋" w:eastAsia="仿宋"/>
                <w:b w:val="0"/>
                <w:sz w:val="16"/>
              </w:rPr>
              <w:t>3</w:t>
            </w:r>
          </w:p>
        </w:tc>
        <w:tc>
          <w:tcPr>
            <w:tcW w:w="1474" w:type="dxa"/>
            <w:vAlign w:val="center"/>
          </w:tcPr>
          <w:p w14:paraId="2F633259">
            <w:pPr>
              <w:spacing w:before="20" w:after="20" w:line="240" w:lineRule="auto"/>
              <w:ind w:firstLine="0"/>
              <w:jc w:val="left"/>
            </w:pPr>
            <w:r>
              <w:rPr>
                <w:rFonts w:ascii="仿宋" w:hAnsi="仿宋" w:eastAsia="仿宋"/>
                <w:b w:val="0"/>
                <w:sz w:val="16"/>
              </w:rPr>
              <w:t>物理性能检测</w:t>
            </w:r>
          </w:p>
        </w:tc>
        <w:tc>
          <w:tcPr>
            <w:tcW w:w="4876" w:type="dxa"/>
            <w:vAlign w:val="center"/>
          </w:tcPr>
          <w:p w14:paraId="36966E27">
            <w:pPr>
              <w:spacing w:before="20" w:after="20" w:line="240" w:lineRule="auto"/>
              <w:ind w:firstLine="0"/>
              <w:jc w:val="left"/>
            </w:pPr>
            <w:r>
              <w:rPr>
                <w:rFonts w:ascii="仿宋" w:hAnsi="仿宋" w:eastAsia="仿宋"/>
                <w:b w:val="0"/>
                <w:sz w:val="16"/>
              </w:rPr>
              <w:t>水泥细度、标准稠度与凝结时间、安定性；骨料级配与含泥量；砂浆稠度与分层度；钢筋重量偏差</w:t>
            </w:r>
          </w:p>
        </w:tc>
        <w:tc>
          <w:tcPr>
            <w:tcW w:w="2041" w:type="dxa"/>
            <w:vAlign w:val="center"/>
          </w:tcPr>
          <w:p w14:paraId="43B258BD">
            <w:pPr>
              <w:spacing w:before="20" w:after="20" w:line="240" w:lineRule="auto"/>
              <w:ind w:firstLine="0"/>
              <w:jc w:val="left"/>
            </w:pPr>
            <w:r>
              <w:rPr>
                <w:rFonts w:ascii="仿宋" w:hAnsi="仿宋" w:eastAsia="仿宋"/>
                <w:b w:val="0"/>
                <w:sz w:val="16"/>
              </w:rPr>
              <w:t>建筑材料与检测</w:t>
            </w:r>
          </w:p>
        </w:tc>
      </w:tr>
      <w:tr w14:paraId="477E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B282666">
            <w:pPr>
              <w:spacing w:before="20" w:after="20" w:line="240" w:lineRule="auto"/>
              <w:ind w:firstLine="0"/>
              <w:jc w:val="center"/>
            </w:pPr>
            <w:r>
              <w:rPr>
                <w:rFonts w:ascii="仿宋" w:hAnsi="仿宋" w:eastAsia="仿宋"/>
                <w:b w:val="0"/>
                <w:sz w:val="16"/>
              </w:rPr>
              <w:t>4</w:t>
            </w:r>
          </w:p>
        </w:tc>
        <w:tc>
          <w:tcPr>
            <w:tcW w:w="1474" w:type="dxa"/>
            <w:vAlign w:val="center"/>
          </w:tcPr>
          <w:p w14:paraId="63A71655">
            <w:pPr>
              <w:spacing w:before="20" w:after="20" w:line="240" w:lineRule="auto"/>
              <w:ind w:firstLine="0"/>
              <w:jc w:val="left"/>
            </w:pPr>
            <w:r>
              <w:rPr>
                <w:rFonts w:ascii="仿宋" w:hAnsi="仿宋" w:eastAsia="仿宋"/>
                <w:b w:val="0"/>
                <w:sz w:val="16"/>
              </w:rPr>
              <w:t>力学性能检测</w:t>
            </w:r>
          </w:p>
        </w:tc>
        <w:tc>
          <w:tcPr>
            <w:tcW w:w="4876" w:type="dxa"/>
            <w:vAlign w:val="center"/>
          </w:tcPr>
          <w:p w14:paraId="444A2C8C">
            <w:pPr>
              <w:spacing w:before="20" w:after="20" w:line="240" w:lineRule="auto"/>
              <w:ind w:firstLine="0"/>
              <w:jc w:val="left"/>
            </w:pPr>
            <w:r>
              <w:rPr>
                <w:rFonts w:ascii="仿宋" w:hAnsi="仿宋" w:eastAsia="仿宋"/>
                <w:b w:val="0"/>
                <w:sz w:val="16"/>
              </w:rPr>
              <w:t>水泥胶砂强度、混凝土立方体抗压强度、混凝土抗折强度、钢筋拉伸与弯曲、砂浆抗压强度</w:t>
            </w:r>
          </w:p>
        </w:tc>
        <w:tc>
          <w:tcPr>
            <w:tcW w:w="2041" w:type="dxa"/>
            <w:vAlign w:val="center"/>
          </w:tcPr>
          <w:p w14:paraId="392FBD41">
            <w:pPr>
              <w:spacing w:before="20" w:after="20" w:line="240" w:lineRule="auto"/>
              <w:ind w:firstLine="0"/>
              <w:jc w:val="left"/>
            </w:pPr>
            <w:r>
              <w:rPr>
                <w:rFonts w:ascii="仿宋" w:hAnsi="仿宋" w:eastAsia="仿宋"/>
                <w:b w:val="0"/>
                <w:sz w:val="16"/>
              </w:rPr>
              <w:t>建筑材料与检测、混凝土性能与检测</w:t>
            </w:r>
          </w:p>
        </w:tc>
      </w:tr>
      <w:tr w14:paraId="3192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900688E">
            <w:pPr>
              <w:spacing w:before="20" w:after="20" w:line="240" w:lineRule="auto"/>
              <w:ind w:firstLine="0"/>
              <w:jc w:val="center"/>
            </w:pPr>
            <w:r>
              <w:rPr>
                <w:rFonts w:ascii="仿宋" w:hAnsi="仿宋" w:eastAsia="仿宋"/>
                <w:b w:val="0"/>
                <w:sz w:val="16"/>
              </w:rPr>
              <w:t>5</w:t>
            </w:r>
          </w:p>
        </w:tc>
        <w:tc>
          <w:tcPr>
            <w:tcW w:w="1474" w:type="dxa"/>
            <w:vAlign w:val="center"/>
          </w:tcPr>
          <w:p w14:paraId="51B697E0">
            <w:pPr>
              <w:spacing w:before="20" w:after="20" w:line="240" w:lineRule="auto"/>
              <w:ind w:firstLine="0"/>
              <w:jc w:val="left"/>
            </w:pPr>
            <w:r>
              <w:rPr>
                <w:rFonts w:ascii="仿宋" w:hAnsi="仿宋" w:eastAsia="仿宋"/>
                <w:b w:val="0"/>
                <w:sz w:val="16"/>
              </w:rPr>
              <w:t>耐久性能检测</w:t>
            </w:r>
          </w:p>
        </w:tc>
        <w:tc>
          <w:tcPr>
            <w:tcW w:w="4876" w:type="dxa"/>
            <w:vAlign w:val="center"/>
          </w:tcPr>
          <w:p w14:paraId="132AEA91">
            <w:pPr>
              <w:spacing w:before="20" w:after="20" w:line="240" w:lineRule="auto"/>
              <w:ind w:firstLine="0"/>
              <w:jc w:val="left"/>
            </w:pPr>
            <w:r>
              <w:rPr>
                <w:rFonts w:ascii="仿宋" w:hAnsi="仿宋" w:eastAsia="仿宋"/>
                <w:b w:val="0"/>
                <w:sz w:val="16"/>
              </w:rPr>
              <w:t>抗渗、抗冻、氯离子含量、碳化深度、收缩、钢筋锈蚀</w:t>
            </w:r>
          </w:p>
        </w:tc>
        <w:tc>
          <w:tcPr>
            <w:tcW w:w="2041" w:type="dxa"/>
            <w:vAlign w:val="center"/>
          </w:tcPr>
          <w:p w14:paraId="20662975">
            <w:pPr>
              <w:spacing w:before="20" w:after="20" w:line="240" w:lineRule="auto"/>
              <w:ind w:firstLine="0"/>
              <w:jc w:val="left"/>
            </w:pPr>
            <w:r>
              <w:rPr>
                <w:rFonts w:ascii="仿宋" w:hAnsi="仿宋" w:eastAsia="仿宋"/>
                <w:b w:val="0"/>
                <w:sz w:val="16"/>
              </w:rPr>
              <w:t>混凝土性能与检测</w:t>
            </w:r>
          </w:p>
        </w:tc>
      </w:tr>
      <w:tr w14:paraId="0FE2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66ADD17">
            <w:pPr>
              <w:spacing w:before="20" w:after="20" w:line="240" w:lineRule="auto"/>
              <w:ind w:firstLine="0"/>
              <w:jc w:val="center"/>
            </w:pPr>
            <w:r>
              <w:rPr>
                <w:rFonts w:ascii="仿宋" w:hAnsi="仿宋" w:eastAsia="仿宋"/>
                <w:b w:val="0"/>
                <w:sz w:val="16"/>
              </w:rPr>
              <w:t>6</w:t>
            </w:r>
          </w:p>
        </w:tc>
        <w:tc>
          <w:tcPr>
            <w:tcW w:w="1474" w:type="dxa"/>
            <w:vAlign w:val="center"/>
          </w:tcPr>
          <w:p w14:paraId="58C4EF73">
            <w:pPr>
              <w:spacing w:before="20" w:after="20" w:line="240" w:lineRule="auto"/>
              <w:ind w:firstLine="0"/>
              <w:jc w:val="left"/>
            </w:pPr>
            <w:r>
              <w:rPr>
                <w:rFonts w:ascii="仿宋" w:hAnsi="仿宋" w:eastAsia="仿宋"/>
                <w:b w:val="0"/>
                <w:sz w:val="16"/>
              </w:rPr>
              <w:t>数据处理与报告</w:t>
            </w:r>
          </w:p>
        </w:tc>
        <w:tc>
          <w:tcPr>
            <w:tcW w:w="4876" w:type="dxa"/>
            <w:vAlign w:val="center"/>
          </w:tcPr>
          <w:p w14:paraId="310717B8">
            <w:pPr>
              <w:spacing w:before="20" w:after="20" w:line="240" w:lineRule="auto"/>
              <w:ind w:firstLine="0"/>
              <w:jc w:val="left"/>
            </w:pPr>
            <w:r>
              <w:rPr>
                <w:rFonts w:ascii="仿宋" w:hAnsi="仿宋" w:eastAsia="仿宋"/>
                <w:b w:val="0"/>
                <w:sz w:val="16"/>
              </w:rPr>
              <w:t>原始记录填写、数据修约、异常值判断、结果评定、报告编制、审核与归档</w:t>
            </w:r>
          </w:p>
        </w:tc>
        <w:tc>
          <w:tcPr>
            <w:tcW w:w="2041" w:type="dxa"/>
            <w:vAlign w:val="center"/>
          </w:tcPr>
          <w:p w14:paraId="2B68EAC8">
            <w:pPr>
              <w:spacing w:before="20" w:after="20" w:line="240" w:lineRule="auto"/>
              <w:ind w:firstLine="0"/>
              <w:jc w:val="left"/>
            </w:pPr>
            <w:r>
              <w:rPr>
                <w:rFonts w:ascii="仿宋" w:hAnsi="仿宋" w:eastAsia="仿宋"/>
                <w:b w:val="0"/>
                <w:sz w:val="16"/>
              </w:rPr>
              <w:t>误差分析与数据处理、实验室认可与管理</w:t>
            </w:r>
          </w:p>
        </w:tc>
      </w:tr>
    </w:tbl>
    <w:p w14:paraId="28EB1434">
      <w:pPr>
        <w:spacing w:before="0" w:after="40" w:line="240" w:lineRule="auto"/>
        <w:ind w:firstLine="0"/>
      </w:pPr>
    </w:p>
    <w:p w14:paraId="4973117E">
      <w:pPr>
        <w:spacing w:before="200" w:after="80" w:line="336" w:lineRule="auto"/>
        <w:ind w:firstLine="0"/>
      </w:pPr>
      <w:r>
        <w:rPr>
          <w:rFonts w:ascii="黑体" w:hAnsi="黑体" w:eastAsia="黑体"/>
          <w:b/>
          <w:sz w:val="28"/>
        </w:rPr>
        <w:t>五、现行人才培养与岗位需求的差距</w:t>
      </w:r>
    </w:p>
    <w:p w14:paraId="50C44FBC">
      <w:pPr>
        <w:spacing w:before="0" w:after="0" w:line="384" w:lineRule="auto"/>
        <w:ind w:firstLine="420"/>
      </w:pPr>
      <w:r>
        <w:rPr>
          <w:rFonts w:ascii="仿宋" w:hAnsi="仿宋" w:eastAsia="仿宋"/>
          <w:b w:val="0"/>
          <w:sz w:val="24"/>
        </w:rPr>
        <w:t>一是课程覆盖面不足。现行课程体系仍以传统材料检测为主线，对结构实体检测、建筑节能与室内环境检测、市政道路检测的覆盖不足，而节能与环境检测岗位需求已占两成以上，对应内容仍主要放在拓展课中，学时少、开课不稳定。二是流程性岗位任务缺少承担者。企业需要的收样、报告、归档等岗位任务，在课程体系中找不到明确承担的课程。三是实践教学偏验证性。学生按给定样品、项目和步骤操作，缺少“自己判断该做什么”的训练；评价偏重结果数据是否正确，对取样规范性、记录完整性、异常处理合理性关注不足。四是企业实践时间偏短、岗位单一，多数学生只做过试验，未经历收样与报告环节。</w:t>
      </w:r>
    </w:p>
    <w:p w14:paraId="5B3BB36E">
      <w:pPr>
        <w:spacing w:before="200" w:after="80" w:line="336" w:lineRule="auto"/>
        <w:ind w:firstLine="0"/>
      </w:pPr>
      <w:r>
        <w:rPr>
          <w:rFonts w:ascii="黑体" w:hAnsi="黑体" w:eastAsia="黑体"/>
          <w:b/>
          <w:sz w:val="28"/>
        </w:rPr>
        <w:t>六、对现场工程师学院建设的建议</w:t>
      </w:r>
    </w:p>
    <w:p w14:paraId="526C3C9F">
      <w:pPr>
        <w:spacing w:before="0" w:after="0" w:line="384" w:lineRule="auto"/>
        <w:ind w:firstLine="420"/>
      </w:pPr>
      <w:r>
        <w:rPr>
          <w:rFonts w:ascii="仿宋" w:hAnsi="仿宋" w:eastAsia="仿宋"/>
          <w:b w:val="0"/>
          <w:sz w:val="24"/>
        </w:rPr>
        <w:t>（一）对接岗位任务重构课程体系。以36项典型岗位任务为依据反向映射课程内容，形成“岗位任务—课程内容—考核标准”的对应关系；把收样与委托、报告编制与归档等此前无人承担的岗位任务写入核心课程；将建筑节能与室内环境检测内容由拓展课提升为核心课程或核心模块。</w:t>
      </w:r>
    </w:p>
    <w:p w14:paraId="43B693E4">
      <w:pPr>
        <w:spacing w:before="0" w:after="0" w:line="384" w:lineRule="auto"/>
        <w:ind w:firstLine="420"/>
      </w:pPr>
      <w:r>
        <w:rPr>
          <w:rFonts w:ascii="仿宋" w:hAnsi="仿宋" w:eastAsia="仿宋"/>
          <w:b w:val="0"/>
          <w:sz w:val="24"/>
        </w:rPr>
        <w:t>（二）做实“2+1”工学交替。前四个学期在校完成公共基础课程、专业基础课程与核心课程；第五、第六学期在企业按“收样与委托—样品制备与养护—物理性能检测—力学性能检测—数据处理与报告”五个岗位轮换，每个岗位不少于4周。</w:t>
      </w:r>
    </w:p>
    <w:p w14:paraId="35C63E3A">
      <w:pPr>
        <w:spacing w:before="0" w:after="0" w:line="384" w:lineRule="auto"/>
        <w:ind w:firstLine="420"/>
      </w:pPr>
      <w:r>
        <w:rPr>
          <w:rFonts w:ascii="仿宋" w:hAnsi="仿宋" w:eastAsia="仿宋"/>
          <w:b w:val="0"/>
          <w:sz w:val="24"/>
        </w:rPr>
        <w:t>（三）建设“厂中校”教学点。依托江西建院工程检测有限公司，把《建筑材料与检测》《混凝土性能与检测技术》的实训环节放到企业真实检测线上实施，学生参与真实委托、真实样品、真实报告的全流程。</w:t>
      </w:r>
    </w:p>
    <w:p w14:paraId="3C805576">
      <w:pPr>
        <w:spacing w:before="0" w:after="0" w:line="384" w:lineRule="auto"/>
        <w:ind w:firstLine="420"/>
      </w:pPr>
      <w:r>
        <w:rPr>
          <w:rFonts w:ascii="仿宋" w:hAnsi="仿宋" w:eastAsia="仿宋"/>
          <w:b w:val="0"/>
          <w:sz w:val="24"/>
        </w:rPr>
        <w:t>（四）建立标准动态跟踪与双导师机制。由专业带头人与企业技术负责人组成标准跟踪小组，每学期梳理一次标准更新情况；企业选派技术负责人、授权签字人担任产业导师，与校内教师结对承担授课与考核。</w:t>
      </w:r>
    </w:p>
    <w:p w14:paraId="14421CC6">
      <w:pPr>
        <w:spacing w:before="0" w:after="0" w:line="384" w:lineRule="auto"/>
        <w:ind w:firstLine="420"/>
      </w:pPr>
      <w:r>
        <w:rPr>
          <w:rFonts w:ascii="仿宋" w:hAnsi="仿宋" w:eastAsia="仿宋"/>
          <w:b w:val="0"/>
          <w:sz w:val="24"/>
        </w:rPr>
        <w:t>（五）改革评价方式，强化职业素养。实行“过程性考核＋技能测试＋企业评价”三位一体评价，过程性考核权重不低于60%；把“数据真实性”作为一票否决项，凡发现篡改、编造检测数据，该门课程直接认定为不合格。</w:t>
      </w:r>
    </w:p>
    <w:p w14:paraId="603E09A2">
      <w:pPr>
        <w:spacing w:before="0" w:after="0" w:line="384" w:lineRule="auto"/>
        <w:ind w:firstLine="420"/>
      </w:pPr>
      <w:r>
        <w:rPr>
          <w:rFonts w:ascii="仿宋" w:hAnsi="仿宋" w:eastAsia="仿宋"/>
          <w:b w:val="0"/>
          <w:sz w:val="24"/>
        </w:rPr>
        <w:t>本次调研梳理的36项典型岗位任务、四个层次的标准体系和9个环节的检测流程，已作为2026级人才培养方案修订的直接依据：收样与委托、报告编制与归档等岗位任务写入核心课程，建筑节能与室内环境检测内容由拓展课提升为核心模块，《建筑材料与检测》《混凝土性能与检测技术》的实训环节调整至企业真实检测线实施。下一步将依托现场工程师学院，按年度滚动更新调研数据与标准清单，使专业人才培养与建材产业链的技术升级保持同步。</w:t>
      </w:r>
    </w:p>
    <w:p w14:paraId="6DA0FA2D">
      <w:pPr>
        <w:spacing w:before="0" w:after="0" w:line="312" w:lineRule="auto"/>
        <w:ind w:firstLine="0"/>
        <w:jc w:val="right"/>
      </w:pPr>
    </w:p>
    <w:p w14:paraId="328B0877"/>
    <w:sectPr>
      <w:footerReference r:id="rId5" w:type="default"/>
      <w:pgSz w:w="11906" w:h="16838"/>
      <w:pgMar w:top="1417" w:right="1474" w:bottom="1417" w:left="147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DFA8">
    <w:pPr>
      <w:pStyle w:val="2"/>
      <w:jc w:val="center"/>
    </w:pPr>
    <w:r>
      <w:rPr>
        <w:rFonts w:ascii="宋体" w:hAnsi="宋体" w:eastAsia="宋体"/>
        <w:sz w:val="21"/>
      </w:rPr>
      <w:t xml:space="preserve">— </w:t>
    </w:r>
    <w:r>
      <w:rPr>
        <w:rFonts w:ascii="宋体" w:hAnsi="宋体" w:eastAsia="宋体"/>
        <w:sz w:val="21"/>
      </w:rPr>
      <w:fldChar w:fldCharType="begin"/>
    </w:r>
    <w:r>
      <w:rPr>
        <w:rFonts w:ascii="宋体" w:hAnsi="宋体" w:eastAsia="宋体"/>
        <w:sz w:val="21"/>
      </w:rPr>
      <w:instrText xml:space="preserve"> PAGE </w:instrText>
    </w:r>
    <w:r>
      <w:rPr>
        <w:rFonts w:ascii="宋体" w:hAnsi="宋体" w:eastAsia="宋体"/>
        <w:sz w:val="21"/>
      </w:rPr>
      <w:fldChar w:fldCharType="end"/>
    </w:r>
    <w:r>
      <w:rPr>
        <w:rFonts w:ascii="宋体" w:hAnsi="宋体" w:eastAsia="宋体"/>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652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仿宋" w:hAnsi="仿宋" w:eastAsia="仿宋" w:cstheme="minorBidi"/>
      <w:sz w:val="24"/>
      <w:szCs w:val="22"/>
      <w:lang w:val="en-US" w:eastAsia="en-US"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680"/>
        <w:tab w:val="right" w:pos="9360"/>
      </w:tabs>
      <w:spacing w:after="0" w:line="240" w:lineRule="auto"/>
    </w:p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2026-11-08T08:53:52Z</dcterms:created>
  <dc:creator>42848</dc:creator>
  <cp:lastModifiedBy>乌拉</cp:lastModifiedBy>
  <dcterms:modified xsi:type="dcterms:W3CDTF">2026-11-08T08:54:34Z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eyJoZGlkIjoiNjllOGRlM2ViZmM2MTFjZWNhNWM4YzQ2YTRhOWU1NzAiLCJ1c2VySWQiOiIzNjM4NTYwOTgifQ==</vt:lpwstr>
  </property>
  <property fmtid="{D5CDD505-2E9C-101B-9397-08002B2CF9AE}" pid="4" name="ICV">
    <vt:lpwstr>C40C7B2160024FADAC20DFE5D10F2E76_12</vt:lpwstr>
  </property>
</Properties>
</file>